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3B951">
      <w:pPr>
        <w:bidi w:val="0"/>
        <w:ind w:left="0" w:leftChars="0" w:firstLine="0" w:firstLineChars="0"/>
      </w:pPr>
      <w:r>
        <w:rPr>
          <w:rFonts w:hint="eastAsia" w:ascii="仿宋" w:hAnsi="仿宋" w:eastAsia="仿宋" w:cs="仿宋"/>
          <w:lang w:eastAsia="zh-CN"/>
        </w:rPr>
        <w:drawing>
          <wp:inline distT="0" distB="0" distL="114300" distR="114300">
            <wp:extent cx="2160270" cy="664845"/>
            <wp:effectExtent l="0" t="0" r="11430" b="1905"/>
            <wp:docPr id="1" name="图片 1" descr="恒美智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恒美智造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381F0">
      <w:pPr>
        <w:bidi w:val="0"/>
      </w:pPr>
    </w:p>
    <w:p w14:paraId="18DEA05A">
      <w:pPr>
        <w:bidi w:val="0"/>
      </w:pPr>
    </w:p>
    <w:p w14:paraId="5804C918">
      <w:pPr>
        <w:bidi w:val="0"/>
        <w:rPr>
          <w:rFonts w:hint="eastAsia"/>
        </w:rPr>
      </w:pPr>
    </w:p>
    <w:p w14:paraId="3052BE60">
      <w:pPr>
        <w:spacing w:after="62"/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手动颗粒强度测定仪</w:t>
      </w:r>
    </w:p>
    <w:p w14:paraId="35E7D1EB">
      <w:pPr>
        <w:bidi w:val="0"/>
        <w:rPr>
          <w:rFonts w:hint="default"/>
          <w:lang w:val="en-US" w:eastAsia="zh-CN"/>
        </w:rPr>
      </w:pPr>
    </w:p>
    <w:p w14:paraId="3B16EA95">
      <w:pPr>
        <w:bidi w:val="0"/>
        <w:rPr>
          <w:rFonts w:hint="default"/>
          <w:lang w:val="en-US" w:eastAsia="zh-CN"/>
        </w:rPr>
      </w:pPr>
    </w:p>
    <w:p w14:paraId="4EACE18A">
      <w:pPr>
        <w:bidi w:val="0"/>
        <w:rPr>
          <w:rFonts w:hint="default"/>
          <w:lang w:val="en-US" w:eastAsia="zh-CN"/>
        </w:rPr>
      </w:pPr>
    </w:p>
    <w:p w14:paraId="2B761EE2">
      <w:pPr>
        <w:bidi w:val="0"/>
        <w:rPr>
          <w:rFonts w:hint="default"/>
          <w:lang w:val="en-US" w:eastAsia="zh-CN"/>
        </w:rPr>
      </w:pPr>
    </w:p>
    <w:p w14:paraId="28D7C763">
      <w:pPr>
        <w:spacing w:after="62"/>
        <w:ind w:left="0" w:leftChars="0" w:firstLine="0" w:firstLineChars="0"/>
        <w:jc w:val="center"/>
        <w:rPr>
          <w:rFonts w:hint="eastAsia" w:ascii="Times New Roman" w:hAnsi="Times New Roman" w:eastAsia="宋体" w:cs="宋体"/>
          <w:spacing w:val="-6"/>
          <w:lang w:eastAsia="zh-CN"/>
        </w:rPr>
      </w:pPr>
      <w:r>
        <w:rPr>
          <w:rFonts w:hint="eastAsia" w:ascii="Times New Roman" w:hAnsi="Times New Roman" w:eastAsia="宋体" w:cs="宋体"/>
          <w:spacing w:val="-6"/>
          <w:lang w:eastAsia="zh-CN"/>
        </w:rPr>
        <w:drawing>
          <wp:inline distT="0" distB="0" distL="114300" distR="114300">
            <wp:extent cx="2879725" cy="2879725"/>
            <wp:effectExtent l="0" t="0" r="0" b="0"/>
            <wp:docPr id="5" name="图片 5" descr="主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主图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E7E11">
      <w:pPr>
        <w:bidi w:val="0"/>
      </w:pPr>
    </w:p>
    <w:p w14:paraId="52226F6F">
      <w:pPr>
        <w:bidi w:val="0"/>
      </w:pPr>
    </w:p>
    <w:p w14:paraId="73278802">
      <w:pPr>
        <w:bidi w:val="0"/>
      </w:pPr>
    </w:p>
    <w:p w14:paraId="25EB6FC0">
      <w:pPr>
        <w:bidi w:val="0"/>
        <w:rPr>
          <w:rFonts w:hint="eastAsia"/>
        </w:rPr>
      </w:pPr>
    </w:p>
    <w:p w14:paraId="1C209347">
      <w:pPr>
        <w:pStyle w:val="19"/>
        <w:bidi w:val="0"/>
        <w:rPr>
          <w:rFonts w:hint="eastAsia"/>
        </w:rPr>
      </w:pPr>
      <w:r>
        <w:rPr>
          <w:rFonts w:hint="eastAsia"/>
        </w:rPr>
        <w:t>使用说明书</w:t>
      </w:r>
    </w:p>
    <w:p w14:paraId="78599A49">
      <w:pPr>
        <w:pStyle w:val="19"/>
        <w:bidi w:val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V1.1.0</w:t>
      </w:r>
    </w:p>
    <w:p w14:paraId="1596BF28">
      <w:pPr>
        <w:pStyle w:val="36"/>
        <w:bidi w:val="0"/>
        <w:rPr>
          <w:rFonts w:hint="eastAsia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083" w:bottom="1440" w:left="1083" w:header="851" w:footer="992" w:gutter="0"/>
          <w:pgNumType w:start="1"/>
          <w:cols w:space="0" w:num="1"/>
          <w:rtlGutter w:val="0"/>
          <w:docGrid w:type="lines" w:linePitch="312" w:charSpace="0"/>
        </w:sectPr>
      </w:pPr>
      <w:r>
        <w:rPr>
          <w:rFonts w:hint="eastAsia"/>
        </w:rPr>
        <w:t>（使用前</w:t>
      </w:r>
      <w:r>
        <w:rPr>
          <w:rFonts w:hint="eastAsia"/>
          <w:lang w:val="en-US" w:eastAsia="zh-CN"/>
        </w:rPr>
        <w:t>应</w:t>
      </w:r>
      <w:r>
        <w:rPr>
          <w:rFonts w:hint="eastAsia"/>
        </w:rPr>
        <w:t>仔细阅读说明书，</w:t>
      </w:r>
      <w:r>
        <w:rPr>
          <w:rFonts w:hint="eastAsia"/>
          <w:lang w:val="en-US" w:eastAsia="zh-CN"/>
        </w:rPr>
        <w:t>如有疑问可</w:t>
      </w:r>
      <w:r>
        <w:rPr>
          <w:rFonts w:hint="eastAsia"/>
        </w:rPr>
        <w:t>联系我司技术人员）</w:t>
      </w:r>
    </w:p>
    <w:p w14:paraId="5A178E49">
      <w:pPr>
        <w:rPr>
          <w:rFonts w:hint="eastAsia"/>
          <w:lang w:val="en-US" w:eastAsia="zh-CN"/>
        </w:rPr>
      </w:pPr>
    </w:p>
    <w:p w14:paraId="54BC618F">
      <w:pPr>
        <w:bidi w:val="0"/>
        <w:spacing w:line="360" w:lineRule="auto"/>
        <w:ind w:left="0" w:leftChars="0" w:firstLine="0" w:firstLineChars="0"/>
        <w:rPr>
          <w:rFonts w:hint="eastAsia" w:ascii="黑体" w:hAnsi="黑体" w:eastAsia="黑体" w:cs="黑体"/>
          <w:sz w:val="28"/>
          <w:szCs w:val="28"/>
        </w:rPr>
        <w:sectPr>
          <w:headerReference r:id="rId11" w:type="default"/>
          <w:footerReference r:id="rId12" w:type="default"/>
          <w:pgSz w:w="11906" w:h="16838"/>
          <w:pgMar w:top="1440" w:right="1083" w:bottom="1440" w:left="1083" w:header="851" w:footer="992" w:gutter="0"/>
          <w:pgNumType w:fmt="upperRoman"/>
          <w:cols w:space="0" w:num="1"/>
          <w:rtlGutter w:val="0"/>
          <w:docGrid w:type="lines" w:linePitch="312" w:charSpace="0"/>
        </w:sectPr>
      </w:pPr>
    </w:p>
    <w:p w14:paraId="34F08BCD">
      <w:pPr>
        <w:bidi w:val="0"/>
        <w:spacing w:line="360" w:lineRule="auto"/>
        <w:ind w:left="0" w:leftChars="0" w:firstLine="0" w:firstLineChars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通用说明书提示</w:t>
      </w:r>
    </w:p>
    <w:p w14:paraId="0CFC970C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本说明书适用于我司手动颗粒强度测定仪全系列产品。</w:t>
      </w:r>
    </w:p>
    <w:p w14:paraId="56147950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不同型号的核心差异仅在于测量范围、颗粒直径适配范围及灵敏度，核心功能、操作流程、安全要求、配件配置完全一致。</w:t>
      </w:r>
    </w:p>
    <w:p w14:paraId="10EEE8F0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请结合设备实际配置（以机身标识或技术参数为准）参照操作，如有疑问可查阅设备机身上的产品标识，或联系售后技术人员。</w:t>
      </w:r>
    </w:p>
    <w:p w14:paraId="30165C01">
      <w:pPr>
        <w:rPr>
          <w:rFonts w:hint="eastAsia"/>
          <w:lang w:val="en-US" w:eastAsia="zh-CN"/>
        </w:rPr>
      </w:pPr>
    </w:p>
    <w:p w14:paraId="66AEA598">
      <w:pPr>
        <w:rPr>
          <w:rFonts w:hint="eastAsia"/>
          <w:lang w:val="en-US" w:eastAsia="zh-CN"/>
        </w:rPr>
      </w:pPr>
    </w:p>
    <w:p w14:paraId="50543D1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73FBF2EC">
      <w:pPr>
        <w:bidi w:val="0"/>
        <w:ind w:left="0" w:leftChars="0" w:firstLine="0" w:firstLineChars="0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使用说明</w:t>
      </w:r>
    </w:p>
    <w:p w14:paraId="152F6DB0">
      <w:pPr>
        <w:bidi w:val="0"/>
      </w:pPr>
      <w:r>
        <w:rPr>
          <w:lang w:val="en-US" w:eastAsia="zh-CN"/>
        </w:rPr>
        <w:t>本说明书为手动颗粒强度测定仪系列通用版本，涵盖全系列产品的通用操作、安全规范、维护保养及核心功能说明。</w:t>
      </w:r>
    </w:p>
    <w:p w14:paraId="0952D03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</w:pPr>
      <w:r>
        <w:t>功能差异</w:t>
      </w:r>
      <w:r>
        <w:rPr>
          <w:rFonts w:hint="eastAsia"/>
          <w:lang w:val="en-US" w:eastAsia="zh-CN"/>
        </w:rPr>
        <w:t xml:space="preserve">  </w:t>
      </w:r>
      <w:r>
        <w:t>以</w:t>
      </w:r>
      <w:r>
        <w:rPr>
          <w:rFonts w:hint="eastAsia"/>
          <w:lang w:eastAsia="zh-CN"/>
        </w:rPr>
        <w:t>“</w:t>
      </w:r>
      <w:r>
        <w:t>部分型号支持</w:t>
      </w:r>
      <w:r>
        <w:rPr>
          <w:rFonts w:hint="eastAsia"/>
          <w:lang w:eastAsia="zh-CN"/>
        </w:rPr>
        <w:t>”</w:t>
      </w:r>
      <w:r>
        <w:t>标注不同型号的测量范围、颗粒直径、灵敏度差异，未标注内容为全系列通用</w:t>
      </w:r>
    </w:p>
    <w:p w14:paraId="02C0D5F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</w:pPr>
      <w:r>
        <w:t>操作依据</w:t>
      </w:r>
      <w:r>
        <w:rPr>
          <w:rFonts w:hint="eastAsia"/>
          <w:lang w:val="en-US" w:eastAsia="zh-CN"/>
        </w:rPr>
        <w:t xml:space="preserve">  </w:t>
      </w:r>
      <w:r>
        <w:t>设备屏幕显示的菜单、选项为操作唯一准确依据，以设备实际界面为准</w:t>
      </w:r>
    </w:p>
    <w:p w14:paraId="170273E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</w:pPr>
      <w:r>
        <w:t>技术支持</w:t>
      </w:r>
      <w:r>
        <w:rPr>
          <w:rFonts w:hint="eastAsia"/>
          <w:lang w:val="en-US" w:eastAsia="zh-CN"/>
        </w:rPr>
        <w:t xml:space="preserve">  </w:t>
      </w:r>
      <w:r>
        <w:t>无法确定功能适配性或操作</w:t>
      </w:r>
      <w:r>
        <w:rPr>
          <w:rFonts w:hint="eastAsia"/>
          <w:lang w:eastAsia="zh-CN"/>
        </w:rPr>
        <w:t>有</w:t>
      </w:r>
      <w:r>
        <w:t>疑问，联系售后服务部门</w:t>
      </w:r>
    </w:p>
    <w:p w14:paraId="259D4E80">
      <w:pPr>
        <w:rPr>
          <w:rFonts w:hint="eastAsia"/>
        </w:rPr>
      </w:pPr>
    </w:p>
    <w:p w14:paraId="605B815D">
      <w:pPr>
        <w:rPr>
          <w:rFonts w:hint="eastAsia"/>
        </w:rPr>
      </w:pPr>
      <w:r>
        <w:rPr>
          <w:rFonts w:hint="eastAsia"/>
        </w:rPr>
        <w:br w:type="page"/>
      </w:r>
    </w:p>
    <w:p w14:paraId="620C715F">
      <w:pPr>
        <w:pStyle w:val="3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  录</w:t>
      </w:r>
    </w:p>
    <w:p w14:paraId="198BE755">
      <w:pPr>
        <w:pStyle w:val="17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TOC \o "1-4" \h \u </w:instrText>
      </w:r>
      <w:r>
        <w:rPr>
          <w:rFonts w:hint="eastAsia"/>
        </w:rPr>
        <w:fldChar w:fldCharType="separate"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_Toc14310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1 </w:t>
      </w:r>
      <w:r>
        <w:rPr>
          <w:rFonts w:hint="eastAsia"/>
        </w:rPr>
        <w:t>安全</w:t>
      </w:r>
      <w:r>
        <w:tab/>
      </w:r>
      <w:r>
        <w:fldChar w:fldCharType="begin"/>
      </w:r>
      <w:r>
        <w:instrText xml:space="preserve"> PAGEREF _Toc14310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</w:rPr>
        <w:fldChar w:fldCharType="end"/>
      </w:r>
    </w:p>
    <w:p w14:paraId="265636AB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_Toc32126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1.1 </w:t>
      </w:r>
      <w:r>
        <w:rPr>
          <w:rFonts w:hint="eastAsia"/>
        </w:rPr>
        <w:t>综述</w:t>
      </w:r>
      <w:r>
        <w:tab/>
      </w:r>
      <w:r>
        <w:fldChar w:fldCharType="begin"/>
      </w:r>
      <w:r>
        <w:instrText xml:space="preserve"> PAGEREF _Toc32126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</w:rPr>
        <w:fldChar w:fldCharType="end"/>
      </w:r>
    </w:p>
    <w:p w14:paraId="58E8E6C6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_Toc6956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1.2 </w:t>
      </w:r>
      <w:r>
        <w:rPr>
          <w:rFonts w:hint="eastAsia"/>
        </w:rPr>
        <w:t>人员安全</w:t>
      </w:r>
      <w:r>
        <w:tab/>
      </w:r>
      <w:r>
        <w:fldChar w:fldCharType="begin"/>
      </w:r>
      <w:r>
        <w:instrText xml:space="preserve"> PAGEREF _Toc6956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</w:rPr>
        <w:fldChar w:fldCharType="end"/>
      </w:r>
    </w:p>
    <w:p w14:paraId="3C0B9F47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_Toc4140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1.3 </w:t>
      </w:r>
      <w:r>
        <w:rPr>
          <w:rFonts w:hint="eastAsia"/>
        </w:rPr>
        <w:t>产品安全</w:t>
      </w:r>
      <w:r>
        <w:tab/>
      </w:r>
      <w:r>
        <w:fldChar w:fldCharType="begin"/>
      </w:r>
      <w:r>
        <w:instrText xml:space="preserve"> PAGEREF _Toc4140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</w:rPr>
        <w:fldChar w:fldCharType="end"/>
      </w:r>
    </w:p>
    <w:p w14:paraId="3B7BBFA8">
      <w:pPr>
        <w:pStyle w:val="17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_Toc15041 </w:instrText>
      </w:r>
      <w:r>
        <w:rPr>
          <w:rFonts w:hint="eastAsia"/>
        </w:rPr>
        <w:fldChar w:fldCharType="separate"/>
      </w:r>
      <w:r>
        <w:rPr>
          <w:rFonts w:hint="default"/>
          <w:lang w:eastAsia="zh-CN"/>
        </w:rPr>
        <w:t xml:space="preserve">2 </w:t>
      </w:r>
      <w:r>
        <w:rPr>
          <w:rFonts w:hint="eastAsia"/>
          <w:lang w:val="en-US" w:eastAsia="zh-CN"/>
        </w:rPr>
        <w:t>概述</w:t>
      </w:r>
      <w:r>
        <w:tab/>
      </w:r>
      <w:r>
        <w:fldChar w:fldCharType="begin"/>
      </w:r>
      <w:r>
        <w:instrText xml:space="preserve"> PAGEREF _Toc15041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</w:rPr>
        <w:fldChar w:fldCharType="end"/>
      </w:r>
    </w:p>
    <w:p w14:paraId="6E38FF00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_Toc822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2.1 </w:t>
      </w:r>
      <w:r>
        <w:rPr>
          <w:rFonts w:hint="eastAsia"/>
          <w:lang w:val="en-US" w:eastAsia="zh-CN"/>
        </w:rPr>
        <w:t>仪器</w:t>
      </w:r>
      <w:r>
        <w:rPr>
          <w:rFonts w:hint="eastAsia"/>
        </w:rPr>
        <w:t>简介</w:t>
      </w:r>
      <w:r>
        <w:tab/>
      </w:r>
      <w:r>
        <w:fldChar w:fldCharType="begin"/>
      </w:r>
      <w:r>
        <w:instrText xml:space="preserve"> PAGEREF _Toc822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</w:rPr>
        <w:fldChar w:fldCharType="end"/>
      </w:r>
    </w:p>
    <w:p w14:paraId="7199A04C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_Toc25199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2.2 </w:t>
      </w:r>
      <w:r>
        <w:rPr>
          <w:rFonts w:hint="eastAsia"/>
        </w:rPr>
        <w:t>应用范围</w:t>
      </w:r>
      <w:r>
        <w:tab/>
      </w:r>
      <w:r>
        <w:fldChar w:fldCharType="begin"/>
      </w:r>
      <w:r>
        <w:instrText xml:space="preserve"> PAGEREF _Toc25199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</w:rPr>
        <w:fldChar w:fldCharType="end"/>
      </w:r>
    </w:p>
    <w:p w14:paraId="61024BF3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_Toc10091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2.3 </w:t>
      </w:r>
      <w:r>
        <w:rPr>
          <w:rFonts w:hint="eastAsia"/>
        </w:rPr>
        <w:t>适用标准</w:t>
      </w:r>
      <w:r>
        <w:tab/>
      </w:r>
      <w:r>
        <w:fldChar w:fldCharType="begin"/>
      </w:r>
      <w:r>
        <w:instrText xml:space="preserve"> PAGEREF _Toc10091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</w:rPr>
        <w:fldChar w:fldCharType="end"/>
      </w:r>
    </w:p>
    <w:p w14:paraId="29F559E2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_Toc19249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2.4 </w:t>
      </w:r>
      <w:r>
        <w:rPr>
          <w:rFonts w:hint="eastAsia"/>
        </w:rPr>
        <w:t>检测原理</w:t>
      </w:r>
      <w:r>
        <w:tab/>
      </w:r>
      <w:r>
        <w:fldChar w:fldCharType="begin"/>
      </w:r>
      <w:r>
        <w:instrText xml:space="preserve"> PAGEREF _Toc19249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</w:rPr>
        <w:fldChar w:fldCharType="end"/>
      </w:r>
    </w:p>
    <w:p w14:paraId="1D3A848B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_Toc30623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2.5 </w:t>
      </w:r>
      <w:r>
        <w:rPr>
          <w:rFonts w:hint="eastAsia"/>
        </w:rPr>
        <w:t>仪器特点</w:t>
      </w:r>
      <w:r>
        <w:tab/>
      </w:r>
      <w:r>
        <w:fldChar w:fldCharType="begin"/>
      </w:r>
      <w:r>
        <w:instrText xml:space="preserve"> PAGEREF _Toc30623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</w:rPr>
        <w:fldChar w:fldCharType="end"/>
      </w:r>
    </w:p>
    <w:p w14:paraId="6A1F2DC3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_Toc6985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2.6 </w:t>
      </w:r>
      <w:r>
        <w:rPr>
          <w:rFonts w:hint="eastAsia"/>
        </w:rPr>
        <w:t>技术参数</w:t>
      </w:r>
      <w:r>
        <w:tab/>
      </w:r>
      <w:r>
        <w:fldChar w:fldCharType="begin"/>
      </w:r>
      <w:r>
        <w:instrText xml:space="preserve"> PAGEREF _Toc6985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/>
        </w:rPr>
        <w:fldChar w:fldCharType="end"/>
      </w:r>
    </w:p>
    <w:p w14:paraId="28FDA74F">
      <w:pPr>
        <w:pStyle w:val="17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_Toc9434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3 </w:t>
      </w:r>
      <w:r>
        <w:rPr>
          <w:rFonts w:hint="eastAsia"/>
          <w:lang w:val="en-US" w:eastAsia="zh-CN"/>
        </w:rPr>
        <w:t>使用准备</w:t>
      </w:r>
      <w:r>
        <w:tab/>
      </w:r>
      <w:r>
        <w:fldChar w:fldCharType="begin"/>
      </w:r>
      <w:r>
        <w:instrText xml:space="preserve"> PAGEREF _Toc9434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/>
        </w:rPr>
        <w:fldChar w:fldCharType="end"/>
      </w:r>
    </w:p>
    <w:p w14:paraId="662181EF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_Toc7206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3.1 </w:t>
      </w:r>
      <w:r>
        <w:rPr>
          <w:rFonts w:hint="eastAsia"/>
        </w:rPr>
        <w:t>开箱检查</w:t>
      </w:r>
      <w:r>
        <w:tab/>
      </w:r>
      <w:r>
        <w:fldChar w:fldCharType="begin"/>
      </w:r>
      <w:r>
        <w:instrText xml:space="preserve"> PAGEREF _Toc7206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/>
        </w:rPr>
        <w:fldChar w:fldCharType="end"/>
      </w:r>
    </w:p>
    <w:p w14:paraId="5B5174B9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_Toc25911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3.2 </w:t>
      </w:r>
      <w:r>
        <w:rPr>
          <w:rFonts w:hint="eastAsia"/>
        </w:rPr>
        <w:t>仪器结构</w:t>
      </w:r>
      <w:r>
        <w:tab/>
      </w:r>
      <w:r>
        <w:fldChar w:fldCharType="begin"/>
      </w:r>
      <w:r>
        <w:instrText xml:space="preserve"> PAGEREF _Toc25911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/>
        </w:rPr>
        <w:fldChar w:fldCharType="end"/>
      </w:r>
    </w:p>
    <w:p w14:paraId="14389604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_Toc31826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3.3 </w:t>
      </w:r>
      <w:r>
        <w:rPr>
          <w:rFonts w:hint="eastAsia"/>
          <w:lang w:val="en-US" w:eastAsia="zh-CN"/>
        </w:rPr>
        <w:t>环境</w:t>
      </w:r>
      <w:r>
        <w:rPr>
          <w:rFonts w:hint="eastAsia"/>
        </w:rPr>
        <w:t>条件</w:t>
      </w:r>
      <w:r>
        <w:tab/>
      </w:r>
      <w:r>
        <w:fldChar w:fldCharType="begin"/>
      </w:r>
      <w:r>
        <w:instrText xml:space="preserve"> PAGEREF _Toc31826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/>
        </w:rPr>
        <w:fldChar w:fldCharType="end"/>
      </w:r>
    </w:p>
    <w:p w14:paraId="07B07530">
      <w:pPr>
        <w:pStyle w:val="14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_Toc8841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3.3.1 </w:t>
      </w:r>
      <w:r>
        <w:rPr>
          <w:rFonts w:hint="eastAsia"/>
        </w:rPr>
        <w:t>贮存条件</w:t>
      </w:r>
      <w:r>
        <w:tab/>
      </w:r>
      <w:r>
        <w:fldChar w:fldCharType="begin"/>
      </w:r>
      <w:r>
        <w:instrText xml:space="preserve"> PAGEREF _Toc8841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/>
        </w:rPr>
        <w:fldChar w:fldCharType="end"/>
      </w:r>
    </w:p>
    <w:p w14:paraId="70F83054">
      <w:pPr>
        <w:pStyle w:val="14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_Toc26113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3.3.2 </w:t>
      </w:r>
      <w:r>
        <w:rPr>
          <w:rFonts w:hint="eastAsia"/>
        </w:rPr>
        <w:t>使用条件</w:t>
      </w:r>
      <w:r>
        <w:tab/>
      </w:r>
      <w:r>
        <w:fldChar w:fldCharType="begin"/>
      </w:r>
      <w:r>
        <w:instrText xml:space="preserve"> PAGEREF _Toc26113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/>
        </w:rPr>
        <w:fldChar w:fldCharType="end"/>
      </w:r>
    </w:p>
    <w:p w14:paraId="73E4EF29">
      <w:pPr>
        <w:pStyle w:val="17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_Toc20275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4 </w:t>
      </w:r>
      <w:r>
        <w:rPr>
          <w:rFonts w:hint="eastAsia"/>
          <w:lang w:val="en-US" w:eastAsia="zh-CN"/>
        </w:rPr>
        <w:t>仪器操作</w:t>
      </w:r>
      <w:r>
        <w:tab/>
      </w:r>
      <w:r>
        <w:fldChar w:fldCharType="begin"/>
      </w:r>
      <w:r>
        <w:instrText xml:space="preserve"> PAGEREF _Toc20275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/>
        </w:rPr>
        <w:fldChar w:fldCharType="end"/>
      </w:r>
    </w:p>
    <w:p w14:paraId="46AC2AF7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_Toc14077 </w:instrText>
      </w:r>
      <w:r>
        <w:rPr>
          <w:rFonts w:hint="eastAsia"/>
        </w:rPr>
        <w:fldChar w:fldCharType="separate"/>
      </w:r>
      <w:r>
        <w:rPr>
          <w:rFonts w:hint="default"/>
          <w:lang w:val="en-US" w:eastAsia="zh-CN"/>
        </w:rPr>
        <w:t xml:space="preserve">4.1 </w:t>
      </w:r>
      <w:r>
        <w:rPr>
          <w:rFonts w:hint="eastAsia"/>
          <w:lang w:val="en-US" w:eastAsia="zh-CN"/>
        </w:rPr>
        <w:t>仪器设置</w:t>
      </w:r>
      <w:r>
        <w:tab/>
      </w:r>
      <w:r>
        <w:fldChar w:fldCharType="begin"/>
      </w:r>
      <w:r>
        <w:instrText xml:space="preserve"> PAGEREF _Toc14077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/>
        </w:rPr>
        <w:fldChar w:fldCharType="end"/>
      </w:r>
    </w:p>
    <w:p w14:paraId="1E7C2729">
      <w:pPr>
        <w:pStyle w:val="14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_Toc6888 </w:instrText>
      </w:r>
      <w:r>
        <w:rPr>
          <w:rFonts w:hint="eastAsia"/>
        </w:rPr>
        <w:fldChar w:fldCharType="separate"/>
      </w:r>
      <w:r>
        <w:rPr>
          <w:rFonts w:hint="default"/>
          <w:lang w:val="en-US" w:eastAsia="zh-CN"/>
        </w:rPr>
        <w:t xml:space="preserve">4.1.1 </w:t>
      </w:r>
      <w:r>
        <w:rPr>
          <w:rFonts w:hint="eastAsia"/>
          <w:lang w:val="en-US" w:eastAsia="zh-CN"/>
        </w:rPr>
        <w:t>球形颗粒</w:t>
      </w:r>
      <w:r>
        <w:tab/>
      </w:r>
      <w:r>
        <w:fldChar w:fldCharType="begin"/>
      </w:r>
      <w:r>
        <w:instrText xml:space="preserve"> PAGEREF _Toc6888 \h </w:instrText>
      </w:r>
      <w:r>
        <w:fldChar w:fldCharType="separate"/>
      </w:r>
      <w:r>
        <w:t>11</w:t>
      </w:r>
      <w:r>
        <w:fldChar w:fldCharType="end"/>
      </w:r>
      <w:r>
        <w:rPr>
          <w:rFonts w:hint="eastAsia"/>
        </w:rPr>
        <w:fldChar w:fldCharType="end"/>
      </w:r>
    </w:p>
    <w:p w14:paraId="33E6B86E">
      <w:pPr>
        <w:pStyle w:val="14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_Toc19712 </w:instrText>
      </w:r>
      <w:r>
        <w:rPr>
          <w:rFonts w:hint="eastAsia"/>
        </w:rPr>
        <w:fldChar w:fldCharType="separate"/>
      </w:r>
      <w:r>
        <w:rPr>
          <w:rFonts w:hint="default"/>
          <w:lang w:val="en-US" w:eastAsia="zh-CN"/>
        </w:rPr>
        <w:t xml:space="preserve">4.1.2 </w:t>
      </w:r>
      <w:r>
        <w:rPr>
          <w:rFonts w:hint="eastAsia"/>
          <w:lang w:val="en-US" w:eastAsia="zh-CN"/>
        </w:rPr>
        <w:t>条形颗粒</w:t>
      </w:r>
      <w:r>
        <w:tab/>
      </w:r>
      <w:r>
        <w:fldChar w:fldCharType="begin"/>
      </w:r>
      <w:r>
        <w:instrText xml:space="preserve"> PAGEREF _Toc19712 \h </w:instrText>
      </w:r>
      <w:r>
        <w:fldChar w:fldCharType="separate"/>
      </w:r>
      <w:r>
        <w:t>11</w:t>
      </w:r>
      <w:r>
        <w:fldChar w:fldCharType="end"/>
      </w:r>
      <w:r>
        <w:rPr>
          <w:rFonts w:hint="eastAsia"/>
        </w:rPr>
        <w:fldChar w:fldCharType="end"/>
      </w:r>
    </w:p>
    <w:p w14:paraId="33E7CBBA">
      <w:pPr>
        <w:pStyle w:val="14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_Toc20000 </w:instrText>
      </w:r>
      <w:r>
        <w:rPr>
          <w:rFonts w:hint="eastAsia"/>
        </w:rPr>
        <w:fldChar w:fldCharType="separate"/>
      </w:r>
      <w:r>
        <w:rPr>
          <w:rFonts w:hint="default"/>
          <w:lang w:val="en-US" w:eastAsia="zh-CN"/>
        </w:rPr>
        <w:t xml:space="preserve">4.1.3 </w:t>
      </w:r>
      <w:r>
        <w:rPr>
          <w:rFonts w:hint="eastAsia"/>
          <w:lang w:val="en-US" w:eastAsia="zh-CN"/>
        </w:rPr>
        <w:t>柱形颗粒</w:t>
      </w:r>
      <w:r>
        <w:tab/>
      </w:r>
      <w:r>
        <w:fldChar w:fldCharType="begin"/>
      </w:r>
      <w:r>
        <w:instrText xml:space="preserve"> PAGEREF _Toc20000 \h </w:instrText>
      </w:r>
      <w:r>
        <w:fldChar w:fldCharType="separate"/>
      </w:r>
      <w:r>
        <w:t>13</w:t>
      </w:r>
      <w:r>
        <w:fldChar w:fldCharType="end"/>
      </w:r>
      <w:r>
        <w:rPr>
          <w:rFonts w:hint="eastAsia"/>
        </w:rPr>
        <w:fldChar w:fldCharType="end"/>
      </w:r>
    </w:p>
    <w:p w14:paraId="30999D23">
      <w:pPr>
        <w:pStyle w:val="14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_Toc12726 </w:instrText>
      </w:r>
      <w:r>
        <w:rPr>
          <w:rFonts w:hint="eastAsia"/>
        </w:rPr>
        <w:fldChar w:fldCharType="separate"/>
      </w:r>
      <w:r>
        <w:rPr>
          <w:rFonts w:hint="default"/>
          <w:lang w:val="en-US" w:eastAsia="zh-CN"/>
        </w:rPr>
        <w:t xml:space="preserve">4.1.4 </w:t>
      </w:r>
      <w:r>
        <w:rPr>
          <w:rFonts w:hint="eastAsia"/>
          <w:lang w:val="en-US" w:eastAsia="zh-CN"/>
        </w:rPr>
        <w:t>其他设置</w:t>
      </w:r>
      <w:r>
        <w:tab/>
      </w:r>
      <w:r>
        <w:fldChar w:fldCharType="begin"/>
      </w:r>
      <w:r>
        <w:instrText xml:space="preserve"> PAGEREF _Toc12726 \h </w:instrText>
      </w:r>
      <w:r>
        <w:fldChar w:fldCharType="separate"/>
      </w:r>
      <w:r>
        <w:t>15</w:t>
      </w:r>
      <w:r>
        <w:fldChar w:fldCharType="end"/>
      </w:r>
      <w:r>
        <w:rPr>
          <w:rFonts w:hint="eastAsia"/>
        </w:rPr>
        <w:fldChar w:fldCharType="end"/>
      </w:r>
    </w:p>
    <w:p w14:paraId="7C4D0093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_Toc2697 </w:instrText>
      </w:r>
      <w:r>
        <w:rPr>
          <w:rFonts w:hint="eastAsia"/>
        </w:rPr>
        <w:fldChar w:fldCharType="separate"/>
      </w:r>
      <w:r>
        <w:rPr>
          <w:rFonts w:hint="default"/>
          <w:lang w:val="en-US" w:eastAsia="zh-CN"/>
        </w:rPr>
        <w:t xml:space="preserve">4.2 </w:t>
      </w:r>
      <w:r>
        <w:rPr>
          <w:rFonts w:hint="eastAsia"/>
          <w:lang w:val="en-US" w:eastAsia="zh-CN"/>
        </w:rPr>
        <w:t>检测步骤</w:t>
      </w:r>
      <w:r>
        <w:tab/>
      </w:r>
      <w:r>
        <w:fldChar w:fldCharType="begin"/>
      </w:r>
      <w:r>
        <w:instrText xml:space="preserve"> PAGEREF _Toc2697 \h </w:instrText>
      </w:r>
      <w:r>
        <w:fldChar w:fldCharType="separate"/>
      </w:r>
      <w:r>
        <w:t>18</w:t>
      </w:r>
      <w:r>
        <w:fldChar w:fldCharType="end"/>
      </w:r>
      <w:r>
        <w:rPr>
          <w:rFonts w:hint="eastAsia"/>
        </w:rPr>
        <w:fldChar w:fldCharType="end"/>
      </w:r>
    </w:p>
    <w:p w14:paraId="6130C44B">
      <w:pPr>
        <w:pStyle w:val="17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_Toc3069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5 </w:t>
      </w:r>
      <w:r>
        <w:rPr>
          <w:rFonts w:hint="eastAsia"/>
        </w:rPr>
        <w:t>仪器维护</w:t>
      </w:r>
      <w:r>
        <w:tab/>
      </w:r>
      <w:r>
        <w:fldChar w:fldCharType="begin"/>
      </w:r>
      <w:r>
        <w:instrText xml:space="preserve"> PAGEREF _Toc3069 \h </w:instrText>
      </w:r>
      <w:r>
        <w:fldChar w:fldCharType="separate"/>
      </w:r>
      <w:r>
        <w:t>19</w:t>
      </w:r>
      <w:r>
        <w:fldChar w:fldCharType="end"/>
      </w:r>
      <w:r>
        <w:rPr>
          <w:rFonts w:hint="eastAsia"/>
        </w:rPr>
        <w:fldChar w:fldCharType="end"/>
      </w:r>
    </w:p>
    <w:p w14:paraId="6FE363C5">
      <w:pPr>
        <w:pStyle w:val="17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_Toc24518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6 </w:t>
      </w:r>
      <w:r>
        <w:rPr>
          <w:rFonts w:hint="eastAsia"/>
        </w:rPr>
        <w:t>售后服务</w:t>
      </w:r>
      <w:r>
        <w:tab/>
      </w:r>
      <w:r>
        <w:fldChar w:fldCharType="begin"/>
      </w:r>
      <w:r>
        <w:instrText xml:space="preserve"> PAGEREF _Toc24518 \h </w:instrText>
      </w:r>
      <w:r>
        <w:fldChar w:fldCharType="separate"/>
      </w:r>
      <w:r>
        <w:t>20</w:t>
      </w:r>
      <w:r>
        <w:fldChar w:fldCharType="end"/>
      </w:r>
      <w:r>
        <w:rPr>
          <w:rFonts w:hint="eastAsia"/>
        </w:rPr>
        <w:fldChar w:fldCharType="end"/>
      </w:r>
    </w:p>
    <w:p w14:paraId="3FCB56E5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_Toc10285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6.1 </w:t>
      </w:r>
      <w:r>
        <w:t>保修内容</w:t>
      </w:r>
      <w:r>
        <w:tab/>
      </w:r>
      <w:r>
        <w:fldChar w:fldCharType="begin"/>
      </w:r>
      <w:r>
        <w:instrText xml:space="preserve"> PAGEREF _Toc10285 \h </w:instrText>
      </w:r>
      <w:r>
        <w:fldChar w:fldCharType="separate"/>
      </w:r>
      <w:r>
        <w:t>20</w:t>
      </w:r>
      <w:r>
        <w:fldChar w:fldCharType="end"/>
      </w:r>
      <w:r>
        <w:rPr>
          <w:rFonts w:hint="eastAsia"/>
        </w:rPr>
        <w:fldChar w:fldCharType="end"/>
      </w:r>
    </w:p>
    <w:p w14:paraId="5A28C62B">
      <w:pPr>
        <w:pStyle w:val="20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_Toc24359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6.2 </w:t>
      </w:r>
      <w:r>
        <w:t>保修范围</w:t>
      </w:r>
      <w:r>
        <w:tab/>
      </w:r>
      <w:r>
        <w:fldChar w:fldCharType="begin"/>
      </w:r>
      <w:r>
        <w:instrText xml:space="preserve"> PAGEREF _Toc24359 \h </w:instrText>
      </w:r>
      <w:r>
        <w:fldChar w:fldCharType="separate"/>
      </w:r>
      <w:r>
        <w:t>20</w:t>
      </w:r>
      <w:r>
        <w:fldChar w:fldCharType="end"/>
      </w:r>
      <w:r>
        <w:rPr>
          <w:rFonts w:hint="eastAsia"/>
        </w:rPr>
        <w:fldChar w:fldCharType="end"/>
      </w:r>
    </w:p>
    <w:p w14:paraId="1137F249">
      <w:pPr>
        <w:pStyle w:val="3"/>
        <w:rPr>
          <w:rFonts w:hint="eastAsia"/>
        </w:rPr>
        <w:sectPr>
          <w:footerReference r:id="rId13" w:type="default"/>
          <w:pgSz w:w="11906" w:h="16838"/>
          <w:pgMar w:top="1440" w:right="1083" w:bottom="1440" w:left="1083" w:header="851" w:footer="992" w:gutter="0"/>
          <w:pgNumType w:fmt="upperRoman" w:start="1"/>
          <w:cols w:space="0" w:num="1"/>
          <w:rtlGutter w:val="0"/>
          <w:docGrid w:type="lines" w:linePitch="312" w:charSpace="0"/>
        </w:sectPr>
      </w:pPr>
      <w:r>
        <w:rPr>
          <w:rFonts w:hint="eastAsia"/>
        </w:rPr>
        <w:fldChar w:fldCharType="end"/>
      </w:r>
      <w:bookmarkStart w:id="0" w:name="_Toc13954"/>
    </w:p>
    <w:p w14:paraId="67C65A07">
      <w:pPr>
        <w:pStyle w:val="2"/>
        <w:bidi w:val="0"/>
        <w:rPr>
          <w:rFonts w:hint="eastAsia"/>
        </w:rPr>
      </w:pPr>
      <w:bookmarkStart w:id="1" w:name="_Toc14310"/>
      <w:r>
        <w:rPr>
          <w:rFonts w:hint="eastAsia"/>
        </w:rPr>
        <w:t>安全</w:t>
      </w:r>
      <w:bookmarkEnd w:id="0"/>
      <w:bookmarkEnd w:id="1"/>
    </w:p>
    <w:p w14:paraId="617A12E0">
      <w:pPr>
        <w:pStyle w:val="4"/>
        <w:bidi w:val="0"/>
        <w:rPr>
          <w:rFonts w:hint="eastAsia"/>
        </w:rPr>
      </w:pPr>
      <w:bookmarkStart w:id="2" w:name="_Toc32126"/>
      <w:bookmarkStart w:id="3" w:name="_Toc6804"/>
      <w:r>
        <w:rPr>
          <w:rFonts w:hint="eastAsia"/>
        </w:rPr>
        <w:t>综述</w:t>
      </w:r>
      <w:bookmarkEnd w:id="2"/>
      <w:bookmarkEnd w:id="3"/>
    </w:p>
    <w:p w14:paraId="219D62F6">
      <w:pPr>
        <w:bidi w:val="0"/>
        <w:rPr>
          <w:rFonts w:hint="eastAsia"/>
        </w:rPr>
      </w:pPr>
      <w:r>
        <w:rPr>
          <w:rFonts w:hint="eastAsia"/>
        </w:rPr>
        <w:t>在使用仪器之前，请仔细阅读并参照里面的说明进行操作。出于安全考虑，对于不熟悉安全信息和使用说明的人，请不要使用此仪器。当仪器没有正确使用时，对使用者、财产和环境会带来一定的风险。</w:t>
      </w:r>
    </w:p>
    <w:p w14:paraId="4544D160">
      <w:pPr>
        <w:bidi w:val="0"/>
        <w:rPr>
          <w:rFonts w:hint="eastAsia"/>
        </w:rPr>
      </w:pPr>
      <w:r>
        <w:rPr>
          <w:rFonts w:hint="eastAsia"/>
        </w:rPr>
        <w:t>以下情况可能会带来一定的危险：</w:t>
      </w:r>
    </w:p>
    <w:p w14:paraId="549A1A5E">
      <w:pPr>
        <w:numPr>
          <w:ilvl w:val="0"/>
          <w:numId w:val="3"/>
        </w:numPr>
        <w:bidi w:val="0"/>
        <w:ind w:left="840" w:leftChars="0" w:hanging="420" w:firstLineChars="0"/>
        <w:rPr>
          <w:rFonts w:hint="eastAsia"/>
        </w:rPr>
      </w:pPr>
      <w:r>
        <w:rPr>
          <w:rFonts w:hint="eastAsia"/>
        </w:rPr>
        <w:t>如果仪器被经验不足的人员操作</w:t>
      </w:r>
    </w:p>
    <w:p w14:paraId="42A4FB99">
      <w:pPr>
        <w:numPr>
          <w:ilvl w:val="0"/>
          <w:numId w:val="3"/>
        </w:numPr>
        <w:bidi w:val="0"/>
        <w:ind w:left="840" w:leftChars="0" w:hanging="420" w:firstLineChars="0"/>
        <w:rPr>
          <w:rFonts w:hint="eastAsia"/>
        </w:rPr>
      </w:pPr>
      <w:r>
        <w:rPr>
          <w:rFonts w:hint="eastAsia"/>
        </w:rPr>
        <w:t>如果仪器没有按照正常规定操作</w:t>
      </w:r>
    </w:p>
    <w:p w14:paraId="6BB08342">
      <w:pPr>
        <w:bidi w:val="0"/>
        <w:rPr>
          <w:rFonts w:hint="eastAsia"/>
        </w:rPr>
      </w:pPr>
      <w:r>
        <w:rPr>
          <w:rFonts w:hint="eastAsia"/>
        </w:rPr>
        <w:t>在手册中会有适当的警告，以使用户能够意识到这些危险。</w:t>
      </w:r>
    </w:p>
    <w:p w14:paraId="21EC3613">
      <w:pPr>
        <w:pStyle w:val="4"/>
        <w:bidi w:val="0"/>
        <w:rPr>
          <w:rFonts w:hint="eastAsia"/>
        </w:rPr>
      </w:pPr>
      <w:bookmarkStart w:id="4" w:name="_Toc24555"/>
      <w:bookmarkStart w:id="5" w:name="_Toc6956"/>
      <w:r>
        <w:rPr>
          <w:rFonts w:hint="eastAsia"/>
        </w:rPr>
        <w:t>人员安全</w:t>
      </w:r>
      <w:bookmarkEnd w:id="4"/>
      <w:bookmarkEnd w:id="5"/>
    </w:p>
    <w:p w14:paraId="21C36332">
      <w:pPr>
        <w:bidi w:val="0"/>
        <w:rPr>
          <w:rFonts w:hint="eastAsia"/>
        </w:rPr>
      </w:pPr>
      <w:r>
        <w:rPr>
          <w:rFonts w:hint="eastAsia" w:cs="宋体"/>
        </w:rPr>
        <w:drawing>
          <wp:inline distT="0" distB="0" distL="114300" distR="114300">
            <wp:extent cx="339725" cy="299085"/>
            <wp:effectExtent l="0" t="0" r="3175" b="5715"/>
            <wp:docPr id="14" name="图片 1" descr="微信截图_2024040916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微信截图_202404091607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警告</w:t>
      </w:r>
    </w:p>
    <w:p w14:paraId="53FBD988">
      <w:pPr>
        <w:bidi w:val="0"/>
        <w:rPr>
          <w:rFonts w:hint="eastAsia"/>
        </w:rPr>
      </w:pPr>
      <w:r>
        <w:rPr>
          <w:rFonts w:hint="eastAsia"/>
        </w:rPr>
        <w:t>未按操作说明进行使用造成的仪器损坏，厂家拒绝承担一切后果。</w:t>
      </w:r>
    </w:p>
    <w:p w14:paraId="37572E00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39725" cy="299085"/>
            <wp:effectExtent l="0" t="0" r="3175" b="5715"/>
            <wp:docPr id="7" name="图片 2" descr="微信截图_2024040916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微信截图_202404091607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/>
        </w:rPr>
        <w:t>警告</w:t>
      </w:r>
    </w:p>
    <w:p w14:paraId="1145E0F9">
      <w:pPr>
        <w:bidi w:val="0"/>
        <w:rPr>
          <w:rFonts w:hint="eastAsia" w:ascii="宋体" w:hAnsi="宋体" w:eastAsia="宋体" w:cs="宋体"/>
          <w:szCs w:val="21"/>
        </w:rPr>
      </w:pPr>
      <w:r>
        <w:rPr>
          <w:rFonts w:hint="eastAsia"/>
        </w:rPr>
        <w:t>如果没有按照制造商要求的方式进行使用，仪器本身提供的保护可能被削弱。</w:t>
      </w:r>
    </w:p>
    <w:p w14:paraId="54625223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39725" cy="299085"/>
            <wp:effectExtent l="0" t="0" r="3175" b="5715"/>
            <wp:docPr id="10" name="图片 3" descr="微信截图_2024040916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 descr="微信截图_202404091607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/>
        </w:rPr>
        <w:t>警告</w:t>
      </w:r>
    </w:p>
    <w:p w14:paraId="225BFFE2">
      <w:pPr>
        <w:bidi w:val="0"/>
        <w:rPr>
          <w:rFonts w:hint="eastAsia"/>
        </w:rPr>
      </w:pPr>
      <w:r>
        <w:rPr>
          <w:rFonts w:hint="eastAsia"/>
        </w:rPr>
        <w:t>按照实验室安全规定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实验过程中颗粒破碎时会产生颗粒碎屑飞溅</w:t>
      </w:r>
      <w:r>
        <w:rPr>
          <w:rFonts w:hint="eastAsia"/>
        </w:rPr>
        <w:t>。操作过程中均需要穿戴实验服、口罩和</w:t>
      </w:r>
      <w:r>
        <w:rPr>
          <w:rFonts w:hint="eastAsia"/>
          <w:lang w:val="en-US" w:eastAsia="zh-CN"/>
        </w:rPr>
        <w:t>眼罩</w:t>
      </w:r>
      <w:r>
        <w:rPr>
          <w:rFonts w:hint="eastAsia"/>
        </w:rPr>
        <w:t>等防护用品。</w:t>
      </w:r>
    </w:p>
    <w:p w14:paraId="145CC6E9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39725" cy="299085"/>
            <wp:effectExtent l="0" t="0" r="3175" b="5715"/>
            <wp:docPr id="38" name="图片 3" descr="微信截图_2024040916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" descr="微信截图_202404091607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/>
        </w:rPr>
        <w:t>警告</w:t>
      </w:r>
    </w:p>
    <w:p w14:paraId="205F241D">
      <w:pPr>
        <w:bidi w:val="0"/>
        <w:rPr>
          <w:rFonts w:hint="eastAsia"/>
        </w:rPr>
      </w:pPr>
      <w:r>
        <w:rPr>
          <w:rFonts w:hint="eastAsia"/>
        </w:rPr>
        <w:t>按照实验室安全规定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实验过程中压杆下压产生较大压力，操作过程中请勿接触托盘压头。防止夹手。</w:t>
      </w:r>
    </w:p>
    <w:p w14:paraId="00EC1997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78460" cy="335280"/>
            <wp:effectExtent l="0" t="0" r="2540" b="7620"/>
            <wp:docPr id="4" name="图片 4" descr="微信截图_2024040916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截图_2024040916103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846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/>
        </w:rPr>
        <w:t>警告</w:t>
      </w:r>
    </w:p>
    <w:p w14:paraId="58897FBA">
      <w:pPr>
        <w:bidi w:val="0"/>
        <w:rPr>
          <w:rFonts w:hint="eastAsia"/>
        </w:rPr>
      </w:pPr>
      <w:r>
        <w:rPr>
          <w:rFonts w:hint="eastAsia"/>
        </w:rPr>
        <w:t>该设备</w:t>
      </w:r>
      <w:r>
        <w:rPr>
          <w:rFonts w:hint="eastAsia"/>
          <w:lang w:val="en-US" w:eastAsia="zh-CN"/>
        </w:rPr>
        <w:t>必须使用</w:t>
      </w:r>
      <w:r>
        <w:rPr>
          <w:rFonts w:hint="eastAsia"/>
        </w:rPr>
        <w:t>有接地专用电源插头，以防触电。所用插座需正确接地。</w:t>
      </w:r>
    </w:p>
    <w:p w14:paraId="4AAF99D1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78460" cy="335280"/>
            <wp:effectExtent l="0" t="0" r="2540" b="7620"/>
            <wp:docPr id="15" name="图片 5" descr="微信截图_2024040916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 descr="微信截图_2024040916103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846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/>
        </w:rPr>
        <w:t>警告</w:t>
      </w:r>
    </w:p>
    <w:p w14:paraId="3DB93D8F">
      <w:pPr>
        <w:bidi w:val="0"/>
        <w:rPr>
          <w:rFonts w:hint="eastAsia"/>
        </w:rPr>
      </w:pPr>
      <w:r>
        <w:rPr>
          <w:rFonts w:hint="eastAsia"/>
        </w:rPr>
        <w:t>触电危险。只有专业资格人员才可以打开机盖</w:t>
      </w:r>
      <w:r>
        <w:rPr>
          <w:rFonts w:hint="eastAsia"/>
          <w:lang w:val="en-US" w:eastAsia="zh-CN"/>
        </w:rPr>
        <w:t>和维修</w:t>
      </w:r>
      <w:r>
        <w:rPr>
          <w:rFonts w:hint="eastAsia"/>
        </w:rPr>
        <w:t>。</w:t>
      </w:r>
    </w:p>
    <w:p w14:paraId="594C7D6F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39725" cy="299085"/>
            <wp:effectExtent l="0" t="0" r="3175" b="5715"/>
            <wp:docPr id="16" name="图片 6" descr="微信截图_2024040916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 descr="微信截图_202404091607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警告</w:t>
      </w:r>
    </w:p>
    <w:p w14:paraId="4F9D7DB8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测试完毕，测试过程中使用的样品和试剂应按照当地环保要求进行处理</w:t>
      </w:r>
      <w:r>
        <w:rPr>
          <w:rFonts w:hint="eastAsia"/>
        </w:rPr>
        <w:t>。</w:t>
      </w:r>
    </w:p>
    <w:p w14:paraId="3EA99173">
      <w:pPr>
        <w:pStyle w:val="4"/>
        <w:bidi w:val="0"/>
        <w:rPr>
          <w:rFonts w:hint="eastAsia"/>
        </w:rPr>
      </w:pPr>
      <w:bookmarkStart w:id="6" w:name="_Toc14767"/>
      <w:bookmarkStart w:id="7" w:name="_Toc4140"/>
      <w:r>
        <w:rPr>
          <w:rFonts w:hint="eastAsia"/>
        </w:rPr>
        <w:t>产品安全</w:t>
      </w:r>
      <w:bookmarkEnd w:id="6"/>
      <w:bookmarkEnd w:id="7"/>
    </w:p>
    <w:p w14:paraId="4A911E60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39725" cy="299085"/>
            <wp:effectExtent l="0" t="0" r="3175" b="5715"/>
            <wp:docPr id="6" name="图片 9" descr="微信截图_2024040916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 descr="微信截图_202404091607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/>
        </w:rPr>
        <w:t>注意</w:t>
      </w:r>
    </w:p>
    <w:p w14:paraId="15823851">
      <w:pPr>
        <w:bidi w:val="0"/>
        <w:rPr>
          <w:rFonts w:hint="eastAsia"/>
        </w:rPr>
      </w:pPr>
      <w:r>
        <w:rPr>
          <w:rFonts w:hint="eastAsia"/>
        </w:rPr>
        <w:t>当仪器发生故障时请及时联系售后人员。</w:t>
      </w:r>
    </w:p>
    <w:p w14:paraId="7F867C2E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39725" cy="299085"/>
            <wp:effectExtent l="0" t="0" r="3175" b="5715"/>
            <wp:docPr id="12" name="图片 10" descr="微信截图_2024040916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 descr="微信截图_202404091607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/>
        </w:rPr>
        <w:t>注意</w:t>
      </w:r>
    </w:p>
    <w:p w14:paraId="428AD4C9">
      <w:pPr>
        <w:bidi w:val="0"/>
        <w:rPr>
          <w:rFonts w:hint="eastAsia"/>
        </w:rPr>
      </w:pPr>
      <w:r>
        <w:rPr>
          <w:rFonts w:hint="eastAsia"/>
        </w:rPr>
        <w:t>仪器必须由厂家授权的人员进行修理。推荐使用原厂备件。</w:t>
      </w:r>
    </w:p>
    <w:p w14:paraId="1DFC732B">
      <w:pPr>
        <w:rPr>
          <w:lang w:val="zh-CN"/>
        </w:rPr>
      </w:pPr>
    </w:p>
    <w:p w14:paraId="19D1912D">
      <w:pPr>
        <w:rPr>
          <w:lang w:val="zh-CN"/>
        </w:rPr>
      </w:pPr>
    </w:p>
    <w:p w14:paraId="7AD80BA0">
      <w:pPr>
        <w:rPr>
          <w:rFonts w:hint="eastAsia"/>
          <w:lang w:val="en-US" w:eastAsia="zh-CN"/>
        </w:rPr>
      </w:pPr>
    </w:p>
    <w:p w14:paraId="70D6B5A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0A60E3E">
      <w:pPr>
        <w:pStyle w:val="2"/>
        <w:bidi w:val="0"/>
        <w:rPr>
          <w:rFonts w:hint="eastAsia"/>
          <w:lang w:eastAsia="zh-CN"/>
        </w:rPr>
      </w:pPr>
      <w:bookmarkStart w:id="8" w:name="_Toc15041"/>
      <w:bookmarkStart w:id="9" w:name="_Toc29623"/>
      <w:r>
        <w:rPr>
          <w:rFonts w:hint="eastAsia"/>
          <w:lang w:val="en-US" w:eastAsia="zh-CN"/>
        </w:rPr>
        <w:t>概述</w:t>
      </w:r>
      <w:bookmarkEnd w:id="8"/>
      <w:bookmarkEnd w:id="9"/>
    </w:p>
    <w:p w14:paraId="4A5263C5">
      <w:pPr>
        <w:pStyle w:val="4"/>
        <w:bidi w:val="0"/>
        <w:rPr>
          <w:rFonts w:hint="eastAsia"/>
        </w:rPr>
      </w:pPr>
      <w:bookmarkStart w:id="10" w:name="_Toc822"/>
      <w:bookmarkStart w:id="11" w:name="_Toc24980"/>
      <w:r>
        <w:rPr>
          <w:rFonts w:hint="eastAsia"/>
          <w:lang w:val="en-US" w:eastAsia="zh-CN"/>
        </w:rPr>
        <w:t>仪器</w:t>
      </w:r>
      <w:r>
        <w:rPr>
          <w:rFonts w:hint="eastAsia"/>
        </w:rPr>
        <w:t>简介</w:t>
      </w:r>
      <w:bookmarkEnd w:id="10"/>
      <w:bookmarkEnd w:id="11"/>
    </w:p>
    <w:p w14:paraId="4BCC209E">
      <w:pPr>
        <w:bidi w:val="0"/>
      </w:pPr>
      <w:r>
        <w:t>颗粒强度测定仪</w:t>
      </w:r>
      <w:r>
        <w:rPr>
          <w:rFonts w:hint="eastAsia"/>
          <w:lang w:val="en-US" w:eastAsia="zh-CN"/>
        </w:rPr>
        <w:t>是</w:t>
      </w:r>
      <w:r>
        <w:t>采用传感测量技术实现数字显示的新型仪器，具有体积小、使用方便等优点，主要用于圆球状</w:t>
      </w:r>
      <w:r>
        <w:rPr>
          <w:rFonts w:hint="eastAsia"/>
        </w:rPr>
        <w:t>、条状</w:t>
      </w:r>
      <w:r>
        <w:t>或圆柱状颗粒</w:t>
      </w:r>
      <w:r>
        <w:rPr>
          <w:rFonts w:hint="eastAsia"/>
          <w:lang w:val="en-US" w:eastAsia="zh-CN"/>
        </w:rPr>
        <w:t>材料</w:t>
      </w:r>
      <w:r>
        <w:t>的抗压碎强度测定</w:t>
      </w:r>
      <w:r>
        <w:rPr>
          <w:rFonts w:hint="eastAsia"/>
        </w:rPr>
        <w:t>。</w:t>
      </w:r>
    </w:p>
    <w:p w14:paraId="05151AFB">
      <w:pPr>
        <w:pStyle w:val="4"/>
        <w:bidi w:val="0"/>
        <w:rPr>
          <w:rFonts w:hint="eastAsia"/>
        </w:rPr>
      </w:pPr>
      <w:bookmarkStart w:id="12" w:name="_Toc25199"/>
      <w:bookmarkStart w:id="13" w:name="_Toc11855"/>
      <w:r>
        <w:rPr>
          <w:rFonts w:hint="eastAsia"/>
        </w:rPr>
        <w:t>应用范围</w:t>
      </w:r>
      <w:bookmarkEnd w:id="12"/>
      <w:bookmarkEnd w:id="13"/>
    </w:p>
    <w:p w14:paraId="40DE1FAF">
      <w:pPr>
        <w:bidi w:val="0"/>
        <w:rPr>
          <w:rFonts w:hint="eastAsia" w:ascii="宋体" w:hAnsi="宋体" w:cs="宋体"/>
          <w:b w:val="0"/>
          <w:bCs w:val="0"/>
          <w:szCs w:val="24"/>
        </w:rPr>
      </w:pPr>
      <w:r>
        <w:t>适用于化肥、药品、催化剂等样品的强度检测。</w:t>
      </w:r>
    </w:p>
    <w:p w14:paraId="4EB58FCC">
      <w:pPr>
        <w:pStyle w:val="4"/>
        <w:bidi w:val="0"/>
        <w:rPr>
          <w:rFonts w:hint="eastAsia"/>
        </w:rPr>
      </w:pPr>
      <w:bookmarkStart w:id="14" w:name="_Toc10091"/>
      <w:bookmarkStart w:id="15" w:name="_Toc1689"/>
      <w:r>
        <w:rPr>
          <w:rFonts w:hint="eastAsia"/>
        </w:rPr>
        <w:t>适用标准</w:t>
      </w:r>
      <w:bookmarkEnd w:id="14"/>
      <w:bookmarkEnd w:id="15"/>
    </w:p>
    <w:p w14:paraId="4DA3DBF2">
      <w:pPr>
        <w:bidi w:val="0"/>
        <w:rPr>
          <w:rFonts w:hint="eastAsia" w:eastAsia="宋体"/>
          <w:lang w:val="en-US" w:eastAsia="zh-CN"/>
        </w:rPr>
      </w:pPr>
      <w:r>
        <w:rPr>
          <w:rFonts w:hint="eastAsia"/>
        </w:rPr>
        <w:t>基于GB/T 44750-2024《颗粒抗压强度的测量》国家标准</w:t>
      </w:r>
      <w:r>
        <w:rPr>
          <w:rFonts w:hint="eastAsia"/>
          <w:lang w:eastAsia="zh-CN"/>
        </w:rPr>
        <w:t>。</w:t>
      </w:r>
    </w:p>
    <w:p w14:paraId="20F5EA5A">
      <w:pPr>
        <w:pStyle w:val="4"/>
        <w:bidi w:val="0"/>
        <w:rPr>
          <w:rFonts w:hint="eastAsia"/>
        </w:rPr>
      </w:pPr>
      <w:bookmarkStart w:id="16" w:name="_Toc19249"/>
      <w:bookmarkStart w:id="17" w:name="_Toc32250"/>
      <w:r>
        <w:rPr>
          <w:rFonts w:hint="eastAsia"/>
        </w:rPr>
        <w:t>检测原理</w:t>
      </w:r>
      <w:bookmarkEnd w:id="16"/>
      <w:bookmarkEnd w:id="17"/>
    </w:p>
    <w:p w14:paraId="3B51DD06">
      <w:pPr>
        <w:bidi w:val="0"/>
        <w:rPr>
          <w:rFonts w:hint="eastAsia"/>
        </w:rPr>
      </w:pPr>
      <w:r>
        <w:rPr>
          <w:rFonts w:hint="eastAsia"/>
        </w:rPr>
        <w:t>在抗压强度的测量过程中，随着作用在颗粒上压力的增加，颗粒产生破裂</w:t>
      </w:r>
      <w:r>
        <w:t>形变。脆性颗粒在压力达到某一值后破碎。根据不同类型颗粒在测量过程的特性，得到颗粒抗压强度</w:t>
      </w:r>
      <w:r>
        <w:rPr>
          <w:rFonts w:hint="eastAsia"/>
        </w:rPr>
        <w:t>值。</w:t>
      </w:r>
    </w:p>
    <w:p w14:paraId="34ED90F1">
      <w:pPr>
        <w:pStyle w:val="4"/>
        <w:bidi w:val="0"/>
        <w:rPr>
          <w:rFonts w:hint="eastAsia"/>
        </w:rPr>
      </w:pPr>
      <w:bookmarkStart w:id="18" w:name="_Toc9226"/>
      <w:bookmarkStart w:id="19" w:name="_Toc30623"/>
      <w:r>
        <w:rPr>
          <w:rFonts w:hint="eastAsia"/>
        </w:rPr>
        <w:t>仪器特点</w:t>
      </w:r>
      <w:bookmarkEnd w:id="18"/>
      <w:bookmarkEnd w:id="19"/>
    </w:p>
    <w:p w14:paraId="6BA1B8C3">
      <w:pPr>
        <w:bidi w:val="0"/>
        <w:rPr>
          <w:rFonts w:hint="eastAsia"/>
          <w:lang w:eastAsia="zh-CN"/>
        </w:rPr>
      </w:pPr>
      <w:r>
        <w:rPr>
          <w:rFonts w:hint="eastAsia"/>
        </w:rPr>
        <w:t>3</w:t>
      </w:r>
      <w:r>
        <w:t>.5</w:t>
      </w:r>
      <w:r>
        <w:rPr>
          <w:rFonts w:hint="eastAsia"/>
        </w:rPr>
        <w:t>寸串口屏，高效清晰的U</w:t>
      </w:r>
      <w:r>
        <w:t>I</w:t>
      </w:r>
      <w:r>
        <w:rPr>
          <w:rFonts w:hint="eastAsia"/>
        </w:rPr>
        <w:t>界面，增强操作和视觉体验</w:t>
      </w:r>
      <w:r>
        <w:rPr>
          <w:rFonts w:hint="eastAsia"/>
          <w:lang w:eastAsia="zh-CN"/>
        </w:rPr>
        <w:t>。</w:t>
      </w:r>
    </w:p>
    <w:p w14:paraId="4EB3F6FB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本系列</w:t>
      </w:r>
      <w:r>
        <w:rPr>
          <w:rFonts w:hint="eastAsia"/>
          <w:lang w:eastAsia="zh-CN"/>
        </w:rPr>
        <w:t>手动</w:t>
      </w:r>
      <w:r>
        <w:rPr>
          <w:rFonts w:hint="eastAsia"/>
        </w:rPr>
        <w:t>颗粒强度测定仪是用来测定多种脆性颗粒破碎瞬间的最大压力值。采用</w:t>
      </w:r>
      <w:r>
        <w:rPr>
          <w:rFonts w:hint="eastAsia"/>
          <w:lang w:val="en-US" w:eastAsia="zh-CN"/>
        </w:rPr>
        <w:t>手摇推动压杆</w:t>
      </w:r>
      <w:r>
        <w:rPr>
          <w:rFonts w:hint="eastAsia"/>
        </w:rPr>
        <w:t>加压，设有自动超量（超压）保护装置</w:t>
      </w:r>
      <w:r>
        <w:rPr>
          <w:rFonts w:hint="eastAsia"/>
          <w:lang w:eastAsia="zh-CN"/>
        </w:rPr>
        <w:t>。</w:t>
      </w:r>
    </w:p>
    <w:p w14:paraId="6CD51383">
      <w:pPr>
        <w:bidi w:val="0"/>
        <w:rPr>
          <w:rFonts w:hint="eastAsia"/>
        </w:rPr>
      </w:pPr>
      <w:r>
        <w:rPr>
          <w:rFonts w:hint="eastAsia"/>
        </w:rPr>
        <w:t>集合各种颗粒强度测定仪的优点和适用性，并根据用户的要求和建议而研制，是国内先进且适用的微型</w:t>
      </w:r>
      <w:r>
        <w:rPr>
          <w:rFonts w:hint="eastAsia"/>
          <w:lang w:eastAsia="zh-CN"/>
        </w:rPr>
        <w:t>手动</w:t>
      </w:r>
      <w:r>
        <w:rPr>
          <w:rFonts w:hint="eastAsia"/>
        </w:rPr>
        <w:t>颗粒强度检测仪器。</w:t>
      </w:r>
    </w:p>
    <w:p w14:paraId="6EE1423B">
      <w:pPr>
        <w:rPr>
          <w:rFonts w:hint="eastAsia"/>
        </w:rPr>
      </w:pPr>
      <w:r>
        <w:rPr>
          <w:rFonts w:hint="eastAsia"/>
        </w:rPr>
        <w:br w:type="page"/>
      </w:r>
    </w:p>
    <w:p w14:paraId="5F60315E">
      <w:pPr>
        <w:pStyle w:val="4"/>
        <w:bidi w:val="0"/>
        <w:rPr>
          <w:rFonts w:hint="eastAsia"/>
        </w:rPr>
      </w:pPr>
      <w:bookmarkStart w:id="20" w:name="_Toc9837"/>
      <w:bookmarkStart w:id="21" w:name="_Toc6985"/>
      <w:r>
        <w:rPr>
          <w:rFonts w:hint="eastAsia"/>
        </w:rPr>
        <w:t>技术参数</w:t>
      </w:r>
      <w:bookmarkEnd w:id="20"/>
      <w:bookmarkEnd w:id="21"/>
    </w:p>
    <w:p w14:paraId="7E1C7CAB">
      <w:pPr>
        <w:bidi w:val="0"/>
        <w:rPr>
          <w:rFonts w:hint="eastAsia" w:ascii="Times New Roman" w:hAnsi="Times New Roman" w:eastAsia="宋体" w:cs="Times New Roman"/>
          <w:lang w:val="en-US" w:eastAsia="zh"/>
          <w:woUserID w:val="1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测量范围</w:t>
      </w:r>
      <w:r>
        <w:rPr>
          <w:rFonts w:hint="eastAsia" w:cs="Times New Roman"/>
          <w:lang w:val="en-US" w:eastAsia="zh-CN"/>
        </w:rPr>
        <w:t>（部分型号支持）</w:t>
      </w:r>
      <w:r>
        <w:rPr>
          <w:rFonts w:hint="default" w:ascii="Times New Roman" w:hAnsi="Times New Roman" w:eastAsia="宋体" w:cs="Times New Roman"/>
          <w:lang w:val="en-US" w:eastAsia="zh-CN"/>
        </w:rPr>
        <w:t>：</w:t>
      </w:r>
      <w:r>
        <w:rPr>
          <w:rFonts w:hint="eastAsia" w:cs="Times New Roman"/>
          <w:lang w:val="en-US" w:eastAsia="zh-CN"/>
        </w:rPr>
        <w:t>10~500 N、0~1,000 N、</w:t>
      </w:r>
      <w:r>
        <w:rPr>
          <w:rFonts w:hint="default" w:ascii="Times New Roman" w:hAnsi="Times New Roman" w:eastAsia="宋体" w:cs="Times New Roman"/>
          <w:lang w:val="en-US" w:eastAsia="zh-CN"/>
        </w:rPr>
        <w:t>0~2</w:t>
      </w:r>
      <w:r>
        <w:rPr>
          <w:rFonts w:hint="eastAsia" w:cs="Times New Roman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lang w:val="en-US" w:eastAsia="zh-CN"/>
        </w:rPr>
        <w:t>000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N</w:t>
      </w:r>
      <w:r>
        <w:rPr>
          <w:rFonts w:hint="eastAsia" w:cs="Times New Roman"/>
          <w:lang w:val="en-US" w:eastAsia="zh"/>
          <w:woUserID w:val="1"/>
        </w:rPr>
        <w:t>（出厂设定</w:t>
      </w:r>
      <w:bookmarkStart w:id="83" w:name="_GoBack"/>
      <w:bookmarkEnd w:id="83"/>
      <w:r>
        <w:rPr>
          <w:rFonts w:hint="eastAsia" w:cs="Times New Roman"/>
          <w:lang w:val="en-US" w:eastAsia="zh"/>
          <w:woUserID w:val="1"/>
        </w:rPr>
        <w:t>）</w:t>
      </w:r>
    </w:p>
    <w:p w14:paraId="687B2E69">
      <w:pPr>
        <w:bidi w:val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颗粒直径</w:t>
      </w:r>
      <w:r>
        <w:rPr>
          <w:rFonts w:hint="eastAsia" w:cs="Times New Roman"/>
          <w:lang w:val="en-US" w:eastAsia="zh-CN"/>
        </w:rPr>
        <w:t>（部分型号支持）</w:t>
      </w:r>
      <w:r>
        <w:rPr>
          <w:rFonts w:hint="default" w:ascii="Times New Roman" w:hAnsi="Times New Roman" w:eastAsia="宋体" w:cs="Times New Roman"/>
          <w:lang w:val="en-US" w:eastAsia="zh-CN"/>
        </w:rPr>
        <w:t>：</w:t>
      </w:r>
      <w:r>
        <w:rPr>
          <w:rFonts w:hint="eastAsia" w:cs="Times New Roman"/>
          <w:lang w:val="en-US" w:eastAsia="zh-CN"/>
        </w:rPr>
        <w:t>1~25 mm、0.2~45 mm</w:t>
      </w:r>
    </w:p>
    <w:p w14:paraId="65A14B77">
      <w:pPr>
        <w:bidi w:val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显示范围：0~2</w:t>
      </w:r>
      <w:r>
        <w:rPr>
          <w:rFonts w:hint="eastAsia" w:cs="Times New Roman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lang w:val="en-US" w:eastAsia="zh-CN"/>
        </w:rPr>
        <w:t>000</w:t>
      </w:r>
    </w:p>
    <w:p w14:paraId="664EFAB5">
      <w:pPr>
        <w:bidi w:val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分辨率：0.01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N</w:t>
      </w:r>
    </w:p>
    <w:p w14:paraId="71CD5098">
      <w:pPr>
        <w:bidi w:val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测定误差：&lt;0.002%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FS±0.5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N</w:t>
      </w:r>
    </w:p>
    <w:p w14:paraId="5888E4B9">
      <w:pPr>
        <w:bidi w:val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仪器精度：±0.006%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FS</w:t>
      </w:r>
    </w:p>
    <w:p w14:paraId="5FC39370">
      <w:pPr>
        <w:bidi w:val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传感器精度：</w:t>
      </w:r>
      <w:r>
        <w:rPr>
          <w:rFonts w:hint="eastAsia" w:cs="Times New Roman"/>
          <w:lang w:val="en-US" w:eastAsia="zh-CN"/>
        </w:rPr>
        <w:t>0.05%</w:t>
      </w:r>
    </w:p>
    <w:p w14:paraId="28D1DCC4">
      <w:pPr>
        <w:bidi w:val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灵敏度</w:t>
      </w:r>
      <w:r>
        <w:rPr>
          <w:rFonts w:hint="eastAsia" w:cs="Times New Roman"/>
          <w:lang w:val="en-US" w:eastAsia="zh-CN"/>
        </w:rPr>
        <w:t>（部分型号支持）</w:t>
      </w:r>
      <w:r>
        <w:rPr>
          <w:rFonts w:hint="default" w:ascii="Times New Roman" w:hAnsi="Times New Roman" w:eastAsia="宋体" w:cs="Times New Roman"/>
          <w:lang w:val="en-US" w:eastAsia="zh-CN"/>
        </w:rPr>
        <w:t>：</w:t>
      </w:r>
      <w:r>
        <w:rPr>
          <w:rFonts w:hint="eastAsia" w:cs="Times New Roman"/>
          <w:lang w:val="en-US" w:eastAsia="zh-CN"/>
        </w:rPr>
        <w:t>1.0 mV/V、</w:t>
      </w:r>
      <w:r>
        <w:rPr>
          <w:rFonts w:hint="default" w:ascii="Times New Roman" w:hAnsi="Times New Roman" w:eastAsia="宋体" w:cs="Times New Roman"/>
          <w:lang w:val="en-US" w:eastAsia="zh-CN"/>
        </w:rPr>
        <w:t>2.0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m</w:t>
      </w:r>
      <w:r>
        <w:rPr>
          <w:rFonts w:hint="eastAsia" w:cs="Times New Roman"/>
          <w:lang w:val="en-US" w:eastAsia="zh-CN"/>
        </w:rPr>
        <w:t>V</w:t>
      </w:r>
      <w:r>
        <w:rPr>
          <w:rFonts w:hint="default" w:ascii="Times New Roman" w:hAnsi="Times New Roman" w:eastAsia="宋体" w:cs="Times New Roman"/>
          <w:lang w:val="en-US" w:eastAsia="zh-CN"/>
        </w:rPr>
        <w:t>/</w:t>
      </w:r>
      <w:r>
        <w:rPr>
          <w:rFonts w:hint="eastAsia" w:cs="Times New Roman"/>
          <w:lang w:val="en-US" w:eastAsia="zh-CN"/>
        </w:rPr>
        <w:t>V</w:t>
      </w:r>
    </w:p>
    <w:p w14:paraId="76662E9E">
      <w:pPr>
        <w:bidi w:val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测量控制周期：0.2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s</w:t>
      </w:r>
    </w:p>
    <w:p w14:paraId="08B87756">
      <w:pPr>
        <w:bidi w:val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环境温度：室温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~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50℃</w:t>
      </w:r>
    </w:p>
    <w:p w14:paraId="6910DB9A">
      <w:pPr>
        <w:bidi w:val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相对湿度：&lt;85%</w:t>
      </w:r>
    </w:p>
    <w:p w14:paraId="77DBD2B3">
      <w:pPr>
        <w:bidi w:val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电源电压：AC 220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V士10%</w:t>
      </w:r>
    </w:p>
    <w:p w14:paraId="06DC8810">
      <w:pPr>
        <w:bidi w:val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仪器功率：100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W</w:t>
      </w:r>
    </w:p>
    <w:p w14:paraId="69137A78">
      <w:pPr>
        <w:bidi w:val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仪器尺寸：258.3</w:t>
      </w:r>
      <w:r>
        <w:rPr>
          <w:rFonts w:hint="eastAsia" w:cs="Times New Roman"/>
          <w:lang w:val="en-US" w:eastAsia="zh-CN"/>
        </w:rPr>
        <w:t xml:space="preserve"> mm×</w:t>
      </w:r>
      <w:r>
        <w:rPr>
          <w:rFonts w:hint="default" w:ascii="Times New Roman" w:hAnsi="Times New Roman" w:eastAsia="宋体" w:cs="Times New Roman"/>
          <w:lang w:val="en-US" w:eastAsia="zh-CN"/>
        </w:rPr>
        <w:t>210</w:t>
      </w:r>
      <w:r>
        <w:rPr>
          <w:rFonts w:hint="eastAsia" w:cs="Times New Roman"/>
          <w:lang w:val="en-US" w:eastAsia="zh-CN"/>
        </w:rPr>
        <w:t xml:space="preserve"> mm×</w:t>
      </w:r>
      <w:r>
        <w:rPr>
          <w:rFonts w:hint="default" w:ascii="Times New Roman" w:hAnsi="Times New Roman" w:eastAsia="宋体" w:cs="Times New Roman"/>
          <w:lang w:val="en-US" w:eastAsia="zh-CN"/>
        </w:rPr>
        <w:t>288.3</w:t>
      </w:r>
      <w:r>
        <w:rPr>
          <w:rFonts w:hint="eastAsia" w:cs="Times New Roman"/>
          <w:lang w:val="en-US" w:eastAsia="zh-CN"/>
        </w:rPr>
        <w:t xml:space="preserve"> mm</w:t>
      </w:r>
    </w:p>
    <w:p w14:paraId="69C22B32">
      <w:pPr>
        <w:bidi w:val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仪器重量：5.6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kg</w:t>
      </w:r>
    </w:p>
    <w:p w14:paraId="0BB0AB40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18AA5009">
      <w:pPr>
        <w:pStyle w:val="2"/>
        <w:bidi w:val="0"/>
        <w:rPr>
          <w:rFonts w:hint="eastAsia"/>
        </w:rPr>
      </w:pPr>
      <w:bookmarkStart w:id="22" w:name="_Toc9434"/>
      <w:bookmarkStart w:id="23" w:name="_Toc13822"/>
      <w:r>
        <w:rPr>
          <w:rFonts w:hint="eastAsia"/>
          <w:lang w:val="en-US" w:eastAsia="zh-CN"/>
        </w:rPr>
        <w:t>使用准备</w:t>
      </w:r>
      <w:bookmarkEnd w:id="22"/>
    </w:p>
    <w:p w14:paraId="22C7FC9E">
      <w:pPr>
        <w:pStyle w:val="4"/>
        <w:bidi w:val="0"/>
        <w:rPr>
          <w:rFonts w:hint="eastAsia"/>
        </w:rPr>
      </w:pPr>
      <w:bookmarkStart w:id="24" w:name="_Toc7206"/>
      <w:r>
        <w:rPr>
          <w:rFonts w:hint="eastAsia"/>
        </w:rPr>
        <w:t>开箱检查</w:t>
      </w:r>
      <w:bookmarkEnd w:id="23"/>
      <w:bookmarkEnd w:id="24"/>
    </w:p>
    <w:p w14:paraId="34D8E7E8">
      <w:pPr>
        <w:bidi w:val="0"/>
      </w:pPr>
      <w:r>
        <w:t>本用户手册包含仪器功能和操作过程等，为了确保正确使用仪器，在操作仪器前请仔细阅读手册。请妥善保存手册，以便碰到问题时快速阅读。</w:t>
      </w:r>
    </w:p>
    <w:p w14:paraId="54F135DB">
      <w:pPr>
        <w:bidi w:val="0"/>
      </w:pPr>
      <w:r>
        <w:t>用户第一次打开仪器包装箱时，请对照装箱单检查仪器和配件，若发现仪器或配件错误、配件不齐</w:t>
      </w:r>
      <w:r>
        <w:rPr>
          <w:rFonts w:hint="eastAsia"/>
          <w:lang w:eastAsia="zh-CN"/>
        </w:rPr>
        <w:t>或</w:t>
      </w:r>
      <w:r>
        <w:t>不正常，请与销售商或生产商联系。</w:t>
      </w:r>
    </w:p>
    <w:p w14:paraId="6784215F">
      <w:pPr>
        <w:bidi w:val="0"/>
      </w:pPr>
    </w:p>
    <w:p w14:paraId="699AC321">
      <w:pPr>
        <w:pStyle w:val="12"/>
        <w:rPr>
          <w:rFonts w:hint="default" w:eastAsia="黑体"/>
          <w:lang w:val="en-US" w:eastAsia="zh-CN"/>
        </w:rPr>
      </w:pPr>
      <w:r>
        <w:t xml:space="preserve">表 </w:t>
      </w:r>
      <w:r>
        <w:fldChar w:fldCharType="begin"/>
      </w:r>
      <w:r>
        <w:instrText xml:space="preserve"> SEQ 表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 配置清单</w:t>
      </w:r>
    </w:p>
    <w:tbl>
      <w:tblPr>
        <w:tblStyle w:val="23"/>
        <w:tblW w:w="9071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5442"/>
        <w:gridCol w:w="1210"/>
        <w:gridCol w:w="1210"/>
      </w:tblGrid>
      <w:tr w14:paraId="2B3E881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CA1EC9">
            <w:pPr>
              <w:pStyle w:val="38"/>
              <w:bidi w:val="0"/>
              <w:rPr>
                <w:rFonts w:hint="default" w:ascii="Times New Roman" w:hAnsi="Times New Roman" w:cs="Times New Roman"/>
                <w:b/>
                <w:bCs w:val="0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</w:rPr>
              <w:t>序号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1F519C">
            <w:pPr>
              <w:pStyle w:val="38"/>
              <w:bidi w:val="0"/>
              <w:rPr>
                <w:rFonts w:hint="default" w:ascii="Times New Roman" w:hAnsi="Times New Roman" w:cs="Times New Roman"/>
                <w:b/>
                <w:bCs w:val="0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</w:rPr>
              <w:t>名称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3C7D0E">
            <w:pPr>
              <w:pStyle w:val="38"/>
              <w:bidi w:val="0"/>
              <w:rPr>
                <w:rFonts w:hint="default" w:ascii="Times New Roman" w:hAnsi="Times New Roman" w:cs="Times New Roman"/>
                <w:b/>
                <w:bCs w:val="0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</w:rPr>
              <w:t>单位</w:t>
            </w:r>
          </w:p>
        </w:tc>
        <w:tc>
          <w:tcPr>
            <w:tcW w:w="1306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49B5C0">
            <w:pPr>
              <w:pStyle w:val="38"/>
              <w:bidi w:val="0"/>
              <w:rPr>
                <w:rFonts w:hint="default" w:ascii="Times New Roman" w:hAnsi="Times New Roman" w:cs="Times New Roman"/>
                <w:b/>
                <w:bCs w:val="0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</w:rPr>
              <w:t>数量</w:t>
            </w:r>
          </w:p>
        </w:tc>
      </w:tr>
      <w:tr w14:paraId="76E0D7D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02AABC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37A65C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主机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305B2E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台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BEF121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</w:tr>
      <w:tr w14:paraId="15518B3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2A69C9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E95440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样品盘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11C03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只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E99D61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</w:tr>
      <w:tr w14:paraId="47E8232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9106F6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65B36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镊子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BB225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只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BFA234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</w:tr>
      <w:tr w14:paraId="07506FE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11001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E0D7AE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毛刷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EAA0A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只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7D6035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</w:tr>
      <w:tr w14:paraId="1F7D00A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AB809C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F5D5EC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电容笔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602302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只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28675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</w:tr>
      <w:tr w14:paraId="737539A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24A71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CBAF57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塑料收纳盒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EAACD9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个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06AF6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</w:tr>
      <w:tr w14:paraId="7C9ABBB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D3B5C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9D8110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电源线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0409FF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根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4C6872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</w:tr>
      <w:tr w14:paraId="348F5A5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E19132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B20CE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保险丝</w:t>
            </w:r>
            <w:r>
              <w:rPr>
                <w:rFonts w:hint="eastAsia" w:cs="Times New Roman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</w:rPr>
              <w:t>10</w:t>
            </w:r>
            <w:r>
              <w:rPr>
                <w:rFonts w:hint="eastAsia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</w:t>
            </w:r>
            <w:r>
              <w:rPr>
                <w:rFonts w:hint="eastAsia" w:cs="Times New Roman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91EAB7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只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983ABC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</w:tr>
      <w:tr w14:paraId="7DA3281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F441C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2F6982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说明书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DEB6C0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本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AA9280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</w:tr>
      <w:tr w14:paraId="4EEEC5D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F610F">
            <w:pPr>
              <w:pStyle w:val="38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80C7F0">
            <w:pPr>
              <w:pStyle w:val="38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保修卡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1B11D2">
            <w:pPr>
              <w:pStyle w:val="38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张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6F5E0">
            <w:pPr>
              <w:pStyle w:val="38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</w:tr>
      <w:tr w14:paraId="5650142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0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3E9B8">
            <w:pPr>
              <w:pStyle w:val="38"/>
              <w:bidi w:val="0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</w:t>
            </w:r>
          </w:p>
        </w:tc>
        <w:tc>
          <w:tcPr>
            <w:tcW w:w="6033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E54BE3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合格证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EE4749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张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086BD3">
            <w:pPr>
              <w:pStyle w:val="38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</w:tr>
    </w:tbl>
    <w:p w14:paraId="4DC209CB">
      <w:pPr>
        <w:rPr>
          <w:rFonts w:hint="eastAsia"/>
        </w:rPr>
      </w:pPr>
    </w:p>
    <w:p w14:paraId="3A467C0E">
      <w:pPr>
        <w:spacing w:after="62"/>
        <w:ind w:firstLine="480"/>
        <w:rPr>
          <w:rFonts w:ascii="Times New Roman" w:hAnsi="Times New Roman"/>
          <w:shd w:val="clear" w:color="auto" w:fill="FFFFFF"/>
        </w:rPr>
      </w:pPr>
    </w:p>
    <w:p w14:paraId="6497D2C6">
      <w:pPr>
        <w:rPr>
          <w:rFonts w:hint="eastAsia"/>
          <w:lang w:val="en-US" w:eastAsia="zh-CN"/>
        </w:rPr>
      </w:pPr>
      <w:bookmarkStart w:id="25" w:name="_Toc31039"/>
      <w:bookmarkStart w:id="26" w:name="_Toc31529"/>
      <w:bookmarkStart w:id="27" w:name="_Toc19336"/>
      <w:bookmarkStart w:id="28" w:name="_Toc3122"/>
      <w:bookmarkStart w:id="29" w:name="_Toc26991"/>
      <w:bookmarkStart w:id="30" w:name="_Toc14649"/>
      <w:r>
        <w:rPr>
          <w:rFonts w:hint="eastAsia"/>
          <w:lang w:val="en-US" w:eastAsia="zh-CN"/>
        </w:rPr>
        <w:br w:type="page"/>
      </w:r>
    </w:p>
    <w:p w14:paraId="1C7B339B">
      <w:pPr>
        <w:pStyle w:val="4"/>
        <w:bidi w:val="0"/>
        <w:rPr>
          <w:rFonts w:hint="eastAsia"/>
        </w:rPr>
      </w:pPr>
      <w:bookmarkStart w:id="31" w:name="_Toc27479"/>
      <w:bookmarkStart w:id="32" w:name="_Toc25911"/>
      <w:bookmarkStart w:id="33" w:name="_Toc4794"/>
      <w:r>
        <w:rPr>
          <w:rFonts w:hint="eastAsia"/>
        </w:rPr>
        <w:t>仪器结构</w:t>
      </w:r>
      <w:bookmarkEnd w:id="31"/>
      <w:bookmarkEnd w:id="32"/>
    </w:p>
    <w:p w14:paraId="12394BE9">
      <w:pPr>
        <w:pStyle w:val="3"/>
        <w:rPr>
          <w:rFonts w:hint="eastAsia"/>
        </w:rPr>
      </w:pPr>
    </w:p>
    <w:p w14:paraId="4BDC390B">
      <w:pPr>
        <w:pStyle w:val="13"/>
        <w:spacing w:line="360" w:lineRule="auto"/>
        <w:ind w:left="0" w:leftChars="0" w:firstLine="0" w:firstLineChars="0"/>
        <w:jc w:val="center"/>
        <w:rPr>
          <w:rFonts w:hint="eastAsia" w:eastAsia="宋体" w:cs="宋体"/>
          <w:spacing w:val="6"/>
          <w:szCs w:val="21"/>
          <w:lang w:eastAsia="zh-CN"/>
        </w:rPr>
      </w:pPr>
      <w:r>
        <w:rPr>
          <w:rFonts w:hint="eastAsia" w:eastAsia="宋体" w:cs="宋体"/>
          <w:spacing w:val="6"/>
          <w:szCs w:val="21"/>
          <w:lang w:eastAsia="zh-CN"/>
        </w:rPr>
        <w:drawing>
          <wp:inline distT="0" distB="0" distL="114300" distR="114300">
            <wp:extent cx="4319905" cy="3825875"/>
            <wp:effectExtent l="0" t="0" r="4445" b="3175"/>
            <wp:docPr id="22" name="图片 22" descr="颗粒强度测定仪定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颗粒强度测定仪定版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82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A0841">
      <w:pPr>
        <w:pStyle w:val="12"/>
        <w:spacing w:line="360" w:lineRule="auto"/>
        <w:ind w:left="0" w:leftChars="0" w:firstLine="0" w:firstLineChars="0"/>
        <w:jc w:val="center"/>
        <w:rPr>
          <w:rFonts w:hint="eastAsia" w:eastAsia="黑体" w:cs="宋体"/>
          <w:spacing w:val="6"/>
          <w:szCs w:val="21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 结构示意图</w:t>
      </w:r>
    </w:p>
    <w:p w14:paraId="4EEC9CC1">
      <w:pPr>
        <w:pStyle w:val="13"/>
        <w:spacing w:line="360" w:lineRule="auto"/>
        <w:ind w:left="0" w:leftChars="0" w:firstLine="0" w:firstLineChars="0"/>
        <w:jc w:val="center"/>
        <w:rPr>
          <w:rFonts w:hint="eastAsia" w:eastAsia="宋体" w:cs="宋体"/>
          <w:spacing w:val="6"/>
          <w:szCs w:val="21"/>
          <w:lang w:eastAsia="zh-CN"/>
        </w:rPr>
      </w:pPr>
    </w:p>
    <w:p w14:paraId="3E901B81">
      <w:pPr>
        <w:pStyle w:val="13"/>
        <w:spacing w:line="360" w:lineRule="auto"/>
        <w:ind w:left="0" w:leftChars="0" w:firstLine="0" w:firstLineChars="0"/>
        <w:jc w:val="center"/>
        <w:rPr>
          <w:rFonts w:hint="eastAsia" w:eastAsia="宋体" w:cs="宋体"/>
          <w:spacing w:val="6"/>
          <w:szCs w:val="21"/>
          <w:lang w:eastAsia="zh-CN"/>
        </w:rPr>
      </w:pPr>
    </w:p>
    <w:p w14:paraId="5893776B">
      <w:pPr>
        <w:pStyle w:val="12"/>
        <w:rPr>
          <w:rFonts w:hint="default" w:eastAsia="黑体"/>
          <w:lang w:val="en-US" w:eastAsia="zh-CN"/>
        </w:rPr>
      </w:pPr>
      <w:r>
        <w:t xml:space="preserve">表 </w:t>
      </w:r>
      <w:r>
        <w:fldChar w:fldCharType="begin"/>
      </w:r>
      <w:r>
        <w:instrText xml:space="preserve"> SEQ 表 \* ARABIC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lang w:val="en-US" w:eastAsia="zh-CN"/>
        </w:rPr>
        <w:t xml:space="preserve">  结构说明</w:t>
      </w:r>
    </w:p>
    <w:tbl>
      <w:tblPr>
        <w:tblStyle w:val="23"/>
        <w:tblW w:w="9071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5"/>
        <w:gridCol w:w="5876"/>
      </w:tblGrid>
      <w:tr w14:paraId="1B61FD8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ADEA33">
            <w:pPr>
              <w:pStyle w:val="38"/>
              <w:bidi w:val="0"/>
              <w:rPr>
                <w:rFonts w:hint="eastAsia"/>
                <w:b/>
                <w:bCs w:val="0"/>
                <w:lang w:val="en-US" w:eastAsia="zh-CN"/>
              </w:rPr>
            </w:pPr>
            <w:r>
              <w:rPr>
                <w:rFonts w:hint="eastAsia"/>
                <w:b/>
                <w:bCs w:val="0"/>
                <w:lang w:val="en-US" w:eastAsia="zh-CN"/>
              </w:rPr>
              <w:t>序号</w:t>
            </w:r>
          </w:p>
        </w:tc>
        <w:tc>
          <w:tcPr>
            <w:tcW w:w="646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7A940D">
            <w:pPr>
              <w:pStyle w:val="38"/>
              <w:bidi w:val="0"/>
              <w:rPr>
                <w:rFonts w:hint="eastAsia"/>
                <w:b/>
                <w:bCs w:val="0"/>
                <w:lang w:val="en-US" w:eastAsia="zh-CN"/>
              </w:rPr>
            </w:pPr>
            <w:r>
              <w:rPr>
                <w:rFonts w:hint="eastAsia"/>
                <w:b/>
                <w:bCs w:val="0"/>
                <w:lang w:val="en-US" w:eastAsia="zh-CN"/>
              </w:rPr>
              <w:t>说明</w:t>
            </w:r>
          </w:p>
        </w:tc>
      </w:tr>
      <w:tr w14:paraId="1687AA4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1F2A70">
            <w:pPr>
              <w:pStyle w:val="38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646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AB1219">
            <w:pPr>
              <w:pStyle w:val="38"/>
              <w:bidi w:val="0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手轮</w:t>
            </w:r>
          </w:p>
        </w:tc>
      </w:tr>
      <w:tr w14:paraId="058D10C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660937">
            <w:pPr>
              <w:pStyle w:val="38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2C0FDD">
            <w:pPr>
              <w:pStyle w:val="38"/>
              <w:bidi w:val="0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托盘</w:t>
            </w:r>
          </w:p>
        </w:tc>
      </w:tr>
      <w:tr w14:paraId="64A192D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BE2FCD">
            <w:pPr>
              <w:pStyle w:val="38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64ACA">
            <w:pPr>
              <w:pStyle w:val="38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电源开关</w:t>
            </w:r>
          </w:p>
        </w:tc>
      </w:tr>
      <w:tr w14:paraId="3C38D92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4E3666">
            <w:pPr>
              <w:pStyle w:val="38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A81D5D">
            <w:pPr>
              <w:pStyle w:val="38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显示屏</w:t>
            </w:r>
          </w:p>
        </w:tc>
      </w:tr>
      <w:tr w14:paraId="5942B37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492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152726">
            <w:pPr>
              <w:pStyle w:val="38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646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51BC6">
            <w:pPr>
              <w:pStyle w:val="38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压杆</w:t>
            </w:r>
          </w:p>
        </w:tc>
      </w:tr>
    </w:tbl>
    <w:p w14:paraId="2C58A7D6">
      <w:pPr>
        <w:rPr>
          <w:rFonts w:hint="eastAsia"/>
        </w:rPr>
      </w:pPr>
    </w:p>
    <w:p w14:paraId="46863440">
      <w:pPr>
        <w:rPr>
          <w:rFonts w:hint="eastAsia"/>
        </w:rPr>
      </w:pPr>
    </w:p>
    <w:p w14:paraId="13D231A3">
      <w:pPr>
        <w:rPr>
          <w:rFonts w:hint="eastAsia"/>
        </w:rPr>
      </w:pPr>
      <w:r>
        <w:rPr>
          <w:rFonts w:hint="eastAsia"/>
        </w:rPr>
        <w:br w:type="page"/>
      </w:r>
    </w:p>
    <w:p w14:paraId="42666F63">
      <w:pPr>
        <w:pStyle w:val="4"/>
        <w:bidi w:val="0"/>
        <w:rPr>
          <w:rFonts w:hint="eastAsia"/>
        </w:rPr>
      </w:pPr>
      <w:bookmarkStart w:id="34" w:name="_Toc31826"/>
      <w:r>
        <w:rPr>
          <w:rFonts w:hint="eastAsia"/>
          <w:lang w:val="en-US" w:eastAsia="zh-CN"/>
        </w:rPr>
        <w:t>环境</w:t>
      </w:r>
      <w:r>
        <w:rPr>
          <w:rFonts w:hint="eastAsia"/>
        </w:rPr>
        <w:t>条件</w:t>
      </w:r>
      <w:bookmarkEnd w:id="25"/>
      <w:bookmarkEnd w:id="26"/>
      <w:bookmarkEnd w:id="27"/>
      <w:bookmarkEnd w:id="33"/>
      <w:bookmarkEnd w:id="34"/>
    </w:p>
    <w:bookmarkEnd w:id="28"/>
    <w:bookmarkEnd w:id="29"/>
    <w:bookmarkEnd w:id="30"/>
    <w:p w14:paraId="7538832A">
      <w:pPr>
        <w:pStyle w:val="5"/>
        <w:bidi w:val="0"/>
        <w:rPr>
          <w:rFonts w:hint="eastAsia"/>
        </w:rPr>
      </w:pPr>
      <w:bookmarkStart w:id="35" w:name="_Toc3851"/>
      <w:bookmarkStart w:id="36" w:name="_Toc13633"/>
      <w:bookmarkStart w:id="37" w:name="_Toc16594"/>
      <w:bookmarkStart w:id="38" w:name="_Toc25735"/>
      <w:bookmarkStart w:id="39" w:name="_Toc8841"/>
      <w:bookmarkStart w:id="40" w:name="_Toc22402"/>
      <w:r>
        <w:rPr>
          <w:rFonts w:hint="eastAsia"/>
        </w:rPr>
        <w:t>贮存条件</w:t>
      </w:r>
      <w:bookmarkEnd w:id="35"/>
      <w:bookmarkEnd w:id="36"/>
      <w:bookmarkEnd w:id="37"/>
      <w:bookmarkEnd w:id="38"/>
      <w:bookmarkEnd w:id="39"/>
      <w:bookmarkEnd w:id="40"/>
    </w:p>
    <w:p w14:paraId="26CC1A56">
      <w:pPr>
        <w:bidi w:val="0"/>
        <w:ind w:left="240" w:leftChars="100" w:firstLine="240" w:firstLineChars="100"/>
        <w:rPr>
          <w:rFonts w:hint="eastAsia"/>
        </w:rPr>
      </w:pPr>
      <w:r>
        <w:rPr>
          <w:rFonts w:hint="eastAsia"/>
        </w:rPr>
        <w:t>长期贮存前应先清洁仪器表面，经包装后存放在环境温度为 -10</w:t>
      </w:r>
      <w:r>
        <w:rPr>
          <w:rFonts w:hint="eastAsia"/>
          <w:lang w:val="en-US" w:eastAsia="zh-CN"/>
        </w:rPr>
        <w:t>~50</w:t>
      </w:r>
      <w:r>
        <w:rPr>
          <w:rFonts w:hint="eastAsia"/>
        </w:rPr>
        <w:t>℃，相对湿度不</w:t>
      </w:r>
      <w:r>
        <w:rPr>
          <w:rFonts w:hint="eastAsia"/>
          <w:lang w:val="en-US" w:eastAsia="zh-CN"/>
        </w:rPr>
        <w:t>超过</w:t>
      </w:r>
      <w:r>
        <w:rPr>
          <w:rFonts w:hint="eastAsia"/>
        </w:rPr>
        <w:t>85%，无凝结，通风良好的环境内。</w:t>
      </w:r>
    </w:p>
    <w:p w14:paraId="3F55A52C">
      <w:pPr>
        <w:pStyle w:val="5"/>
        <w:bidi w:val="0"/>
        <w:rPr>
          <w:rFonts w:hint="eastAsia"/>
        </w:rPr>
      </w:pPr>
      <w:bookmarkStart w:id="41" w:name="_Toc3402"/>
      <w:bookmarkStart w:id="42" w:name="_Toc9903"/>
      <w:bookmarkStart w:id="43" w:name="_Toc26113"/>
      <w:bookmarkStart w:id="44" w:name="_Toc10330"/>
      <w:bookmarkStart w:id="45" w:name="_Toc13907"/>
      <w:bookmarkStart w:id="46" w:name="_Toc3455"/>
      <w:r>
        <w:rPr>
          <w:rFonts w:hint="eastAsia"/>
        </w:rPr>
        <w:t>使用条件</w:t>
      </w:r>
      <w:bookmarkEnd w:id="41"/>
      <w:bookmarkEnd w:id="42"/>
      <w:bookmarkEnd w:id="43"/>
      <w:bookmarkEnd w:id="44"/>
      <w:bookmarkEnd w:id="45"/>
      <w:bookmarkEnd w:id="46"/>
    </w:p>
    <w:p w14:paraId="3573510F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仪器应放置在平稳、水平，无严重粉尘，无阳光直射，无腐蚀性气体存在的室内，工作台面可承载 10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kg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以上的重量。</w:t>
      </w:r>
    </w:p>
    <w:p w14:paraId="53E538B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周围无强烈震动源及强电磁场存在。</w:t>
      </w:r>
    </w:p>
    <w:p w14:paraId="12E43DC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应放置于通风良好的地方，仪器周围应留有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10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cm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以上的空间，保证操作和维护必要的空间。</w:t>
      </w:r>
    </w:p>
    <w:p w14:paraId="2B9A2FF8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环境温度为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10</w:t>
      </w:r>
      <w:r>
        <w:rPr>
          <w:rFonts w:hint="default" w:ascii="Times New Roman" w:hAnsi="Times New Roman" w:cs="Times New Roman"/>
          <w:lang w:val="en-US" w:eastAsia="zh-CN"/>
        </w:rPr>
        <w:t>~</w:t>
      </w:r>
      <w:r>
        <w:rPr>
          <w:rFonts w:hint="default" w:ascii="Times New Roman" w:hAnsi="Times New Roman" w:cs="Times New Roman"/>
        </w:rPr>
        <w:t>30℃、相对湿度在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≤70%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条件下使用本仪器。</w:t>
      </w:r>
    </w:p>
    <w:p w14:paraId="39C79F2C">
      <w:pPr>
        <w:spacing w:after="0" w:line="360" w:lineRule="auto"/>
        <w:ind w:firstLine="480" w:firstLineChars="200"/>
        <w:jc w:val="left"/>
        <w:rPr>
          <w:rFonts w:hint="eastAsia"/>
        </w:rPr>
      </w:pPr>
    </w:p>
    <w:p w14:paraId="498321F1">
      <w:pP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br w:type="page"/>
      </w:r>
    </w:p>
    <w:p w14:paraId="746E77EC">
      <w:pPr>
        <w:pStyle w:val="2"/>
        <w:bidi w:val="0"/>
        <w:rPr>
          <w:rFonts w:hint="eastAsia"/>
        </w:rPr>
      </w:pPr>
      <w:bookmarkStart w:id="47" w:name="_Toc207022817"/>
      <w:bookmarkStart w:id="48" w:name="_Toc20275"/>
      <w:bookmarkStart w:id="49" w:name="_Toc2199"/>
      <w:r>
        <w:rPr>
          <w:rFonts w:hint="eastAsia"/>
          <w:lang w:val="en-US" w:eastAsia="zh-CN"/>
        </w:rPr>
        <w:t>仪器操作</w:t>
      </w:r>
      <w:bookmarkEnd w:id="47"/>
      <w:bookmarkEnd w:id="48"/>
      <w:bookmarkEnd w:id="49"/>
    </w:p>
    <w:p w14:paraId="28A30722">
      <w:pPr>
        <w:pStyle w:val="4"/>
        <w:bidi w:val="0"/>
        <w:rPr>
          <w:rFonts w:hint="eastAsia"/>
          <w:lang w:val="en-US" w:eastAsia="zh-CN"/>
        </w:rPr>
      </w:pPr>
      <w:bookmarkStart w:id="50" w:name="_Toc14077"/>
      <w:r>
        <w:rPr>
          <w:rFonts w:hint="eastAsia"/>
          <w:lang w:val="en-US" w:eastAsia="zh-CN"/>
        </w:rPr>
        <w:t>仪器设置</w:t>
      </w:r>
      <w:bookmarkEnd w:id="50"/>
    </w:p>
    <w:p w14:paraId="29C3E9D6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</w:pPr>
      <w:r>
        <w:rPr>
          <w:rFonts w:hint="eastAsia"/>
        </w:rPr>
        <w:t>开箱检查仪器上是否放置样品盘</w:t>
      </w:r>
      <w:r>
        <w:rPr>
          <w:rFonts w:hint="eastAsia"/>
          <w:lang w:eastAsia="zh-CN"/>
        </w:rPr>
        <w:t>，</w:t>
      </w:r>
      <w:r>
        <w:rPr>
          <w:rFonts w:hint="eastAsia"/>
        </w:rPr>
        <w:t>仪器上没有样品盘不能开机。</w:t>
      </w:r>
    </w:p>
    <w:p w14:paraId="78008C6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</w:pPr>
      <w:r>
        <w:rPr>
          <w:rFonts w:hint="eastAsia"/>
          <w:lang w:val="en-US" w:eastAsia="zh-CN"/>
        </w:rPr>
        <w:t>开机主页选择脆性颗粒如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_Ref16300 \h </w:instrText>
      </w:r>
      <w:r>
        <w:rPr>
          <w:rFonts w:hint="eastAsia"/>
          <w:lang w:val="en-US" w:eastAsia="zh-CN"/>
        </w:rPr>
        <w:fldChar w:fldCharType="separate"/>
      </w:r>
      <w:r>
        <w:t>图 2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。之后进入脆性颗粒测试界面，当前状态显示“待检测”如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_Ref16329 \h </w:instrText>
      </w:r>
      <w:r>
        <w:rPr>
          <w:rFonts w:hint="eastAsia"/>
          <w:lang w:val="en-US" w:eastAsia="zh-CN"/>
        </w:rPr>
        <w:fldChar w:fldCharType="separate"/>
      </w:r>
      <w:r>
        <w:t>图 3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。选择“关于”进入关于界面，如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_Ref16349 \h </w:instrText>
      </w:r>
      <w:r>
        <w:rPr>
          <w:rFonts w:hint="eastAsia"/>
          <w:lang w:val="en-US" w:eastAsia="zh-CN"/>
        </w:rPr>
        <w:fldChar w:fldCharType="separate"/>
      </w:r>
      <w:r>
        <w:t>图 4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。在关于界面点击“取消”或者“确定”按钮都将返回到开机主界面。</w:t>
      </w:r>
    </w:p>
    <w:p w14:paraId="217FC622">
      <w:pPr>
        <w:spacing w:after="0" w:line="360" w:lineRule="auto"/>
        <w:jc w:val="center"/>
      </w:pPr>
      <w:r>
        <w:drawing>
          <wp:inline distT="0" distB="0" distL="114300" distR="114300">
            <wp:extent cx="3850005" cy="2566670"/>
            <wp:effectExtent l="15875" t="15875" r="77470" b="8445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50005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58AFB3E">
      <w:pPr>
        <w:pStyle w:val="12"/>
        <w:spacing w:after="0" w:line="360" w:lineRule="auto"/>
        <w:jc w:val="center"/>
        <w:rPr>
          <w:rFonts w:hint="default" w:eastAsia="黑体"/>
          <w:lang w:val="en-US" w:eastAsia="zh-CN"/>
        </w:rPr>
      </w:pPr>
      <w:bookmarkStart w:id="51" w:name="_Ref16300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</w:t>
      </w:r>
      <w:r>
        <w:fldChar w:fldCharType="end"/>
      </w:r>
      <w:bookmarkEnd w:id="51"/>
      <w:r>
        <w:rPr>
          <w:rFonts w:hint="eastAsia"/>
          <w:lang w:val="en-US" w:eastAsia="zh-CN"/>
        </w:rPr>
        <w:t xml:space="preserve">  主界面</w:t>
      </w:r>
    </w:p>
    <w:p w14:paraId="1630EA07">
      <w:pPr>
        <w:spacing w:after="0" w:line="360" w:lineRule="auto"/>
        <w:jc w:val="center"/>
      </w:pPr>
    </w:p>
    <w:p w14:paraId="56E20944">
      <w:pPr>
        <w:spacing w:after="0" w:line="360" w:lineRule="auto"/>
        <w:jc w:val="center"/>
      </w:pPr>
      <w:r>
        <w:drawing>
          <wp:inline distT="0" distB="0" distL="114300" distR="114300">
            <wp:extent cx="3850005" cy="2566670"/>
            <wp:effectExtent l="15875" t="15875" r="77470" b="8445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50005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CAFA7C1">
      <w:pPr>
        <w:pStyle w:val="12"/>
        <w:spacing w:after="0" w:line="360" w:lineRule="auto"/>
        <w:jc w:val="center"/>
        <w:rPr>
          <w:rFonts w:hint="default" w:eastAsia="黑体"/>
          <w:lang w:val="en-US" w:eastAsia="zh-CN"/>
        </w:rPr>
      </w:pPr>
      <w:bookmarkStart w:id="52" w:name="_Ref16329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3</w:t>
      </w:r>
      <w:r>
        <w:fldChar w:fldCharType="end"/>
      </w:r>
      <w:bookmarkEnd w:id="52"/>
      <w:r>
        <w:rPr>
          <w:rFonts w:hint="eastAsia"/>
          <w:lang w:val="en-US" w:eastAsia="zh-CN"/>
        </w:rPr>
        <w:t xml:space="preserve">  脆性颗粒</w:t>
      </w:r>
    </w:p>
    <w:p w14:paraId="49014550">
      <w:pPr>
        <w:spacing w:after="0" w:line="360" w:lineRule="auto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750310" cy="2500630"/>
            <wp:effectExtent l="79375" t="41275" r="94615" b="106045"/>
            <wp:docPr id="3" name="图片 3" descr="KD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KD1C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50310" cy="2500630"/>
                    </a:xfrm>
                    <a:prstGeom prst="rect">
                      <a:avLst/>
                    </a:prstGeom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88AD758">
      <w:pPr>
        <w:pStyle w:val="12"/>
        <w:spacing w:after="0" w:line="360" w:lineRule="auto"/>
        <w:jc w:val="center"/>
        <w:rPr>
          <w:rFonts w:hint="eastAsia"/>
          <w:lang w:val="en-US" w:eastAsia="zh-CN"/>
        </w:rPr>
      </w:pPr>
      <w:bookmarkStart w:id="53" w:name="_Ref16349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4</w:t>
      </w:r>
      <w:r>
        <w:fldChar w:fldCharType="end"/>
      </w:r>
      <w:bookmarkEnd w:id="53"/>
      <w:r>
        <w:rPr>
          <w:rFonts w:hint="eastAsia"/>
          <w:lang w:val="en-US" w:eastAsia="zh-CN"/>
        </w:rPr>
        <w:t xml:space="preserve">  关于</w:t>
      </w:r>
    </w:p>
    <w:p w14:paraId="3A13DA2D">
      <w:pPr>
        <w:rPr>
          <w:rFonts w:hint="default"/>
          <w:lang w:val="en-US" w:eastAsia="zh-CN"/>
        </w:rPr>
      </w:pPr>
    </w:p>
    <w:p w14:paraId="2FA78CF6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</w:pPr>
      <w:r>
        <w:rPr>
          <w:rFonts w:hint="eastAsia"/>
        </w:rPr>
        <w:t>测试开始前将样品放入测试台面中心区域，点击“开始”按键进行测试（检测期间仅可点击“停止”按键，其余按键均无法操作）</w:t>
      </w:r>
      <w:r>
        <w:rPr>
          <w:rFonts w:hint="eastAsia"/>
          <w:lang w:eastAsia="zh-CN"/>
        </w:rPr>
        <w:t>。</w:t>
      </w:r>
    </w:p>
    <w:p w14:paraId="1DA6EBE4">
      <w:pPr>
        <w:bidi w:val="0"/>
      </w:pPr>
      <w:r>
        <w:rPr>
          <w:rFonts w:hint="eastAsia"/>
        </w:rPr>
        <w:t>测试界面按键说明：</w:t>
      </w:r>
    </w:p>
    <w:p w14:paraId="5F3D4E98">
      <w:pPr>
        <w:bidi w:val="0"/>
        <w:rPr>
          <w:rFonts w:hint="eastAsia"/>
        </w:rPr>
      </w:pPr>
      <w:r>
        <w:rPr>
          <w:rFonts w:hint="eastAsia"/>
        </w:rPr>
        <w:t>球形颗粒、条形颗粒、柱形颗粒：分别切换到对应选项的检测界面如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REF _Ref18547 \h </w:instrText>
      </w:r>
      <w:r>
        <w:rPr>
          <w:rFonts w:hint="eastAsia"/>
          <w:lang w:eastAsia="zh-CN"/>
        </w:rPr>
        <w:fldChar w:fldCharType="separate"/>
      </w:r>
      <w:r>
        <w:t>图 5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val="en-US" w:eastAsia="zh-CN"/>
        </w:rPr>
        <w:t xml:space="preserve"> ~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_Ref18566 \h </w:instrText>
      </w:r>
      <w:r>
        <w:rPr>
          <w:rFonts w:hint="eastAsia"/>
          <w:lang w:val="en-US" w:eastAsia="zh-CN"/>
        </w:rPr>
        <w:fldChar w:fldCharType="separate"/>
      </w:r>
      <w:r>
        <w:t>图 7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。</w:t>
      </w:r>
      <w:r>
        <w:rPr>
          <w:rFonts w:hint="eastAsia"/>
        </w:rPr>
        <w:t>如当前颗粒类型已有一次或多次测试，基于此状态时，切换界面。当前颗粒类型的历史数据自动全部清除。</w:t>
      </w:r>
    </w:p>
    <w:p w14:paraId="7B489FA2">
      <w:pPr>
        <w:bidi w:val="0"/>
        <w:rPr>
          <w:rFonts w:hint="eastAsia"/>
        </w:rPr>
      </w:pPr>
    </w:p>
    <w:p w14:paraId="0F85D1A2">
      <w:pPr>
        <w:spacing w:after="0" w:line="360" w:lineRule="auto"/>
        <w:jc w:val="center"/>
      </w:pPr>
      <w:r>
        <w:drawing>
          <wp:inline distT="0" distB="0" distL="114300" distR="114300">
            <wp:extent cx="3850005" cy="2566670"/>
            <wp:effectExtent l="15875" t="15875" r="77470" b="84455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50005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091CE61">
      <w:pPr>
        <w:pStyle w:val="12"/>
        <w:spacing w:after="0" w:line="360" w:lineRule="auto"/>
        <w:jc w:val="center"/>
        <w:rPr>
          <w:rFonts w:hint="default" w:eastAsia="黑体"/>
          <w:lang w:val="en-US" w:eastAsia="zh-CN"/>
        </w:rPr>
      </w:pPr>
      <w:bookmarkStart w:id="54" w:name="_Ref18547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5</w:t>
      </w:r>
      <w:r>
        <w:fldChar w:fldCharType="end"/>
      </w:r>
      <w:bookmarkEnd w:id="54"/>
      <w:r>
        <w:rPr>
          <w:rFonts w:hint="eastAsia"/>
          <w:lang w:val="en-US" w:eastAsia="zh-CN"/>
        </w:rPr>
        <w:t xml:space="preserve">  粒型选择 1</w:t>
      </w:r>
    </w:p>
    <w:p w14:paraId="32EC4D87">
      <w:pPr>
        <w:spacing w:after="0"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3850005" cy="2566670"/>
            <wp:effectExtent l="15875" t="15875" r="77470" b="84455"/>
            <wp:docPr id="3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50005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56A4792">
      <w:pPr>
        <w:pStyle w:val="12"/>
        <w:spacing w:after="0" w:line="360" w:lineRule="auto"/>
        <w:jc w:val="center"/>
        <w:rPr>
          <w:rFonts w:hint="eastAsia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6</w:t>
      </w:r>
      <w:r>
        <w:fldChar w:fldCharType="end"/>
      </w:r>
      <w:r>
        <w:rPr>
          <w:rFonts w:hint="eastAsia"/>
          <w:lang w:val="en-US" w:eastAsia="zh-CN"/>
        </w:rPr>
        <w:t xml:space="preserve">  粒型选择 2</w:t>
      </w:r>
    </w:p>
    <w:p w14:paraId="7F773EAC">
      <w:pPr>
        <w:rPr>
          <w:rFonts w:hint="default"/>
          <w:lang w:val="en-US" w:eastAsia="zh-CN"/>
        </w:rPr>
      </w:pPr>
    </w:p>
    <w:p w14:paraId="00B298C4">
      <w:pPr>
        <w:spacing w:after="0"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3850005" cy="2566670"/>
            <wp:effectExtent l="15875" t="15875" r="77470" b="84455"/>
            <wp:docPr id="4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50005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CC1E2BF">
      <w:pPr>
        <w:pStyle w:val="12"/>
        <w:spacing w:after="0" w:line="360" w:lineRule="auto"/>
        <w:jc w:val="center"/>
        <w:rPr>
          <w:rFonts w:hint="default" w:eastAsia="黑体"/>
          <w:lang w:val="en-US" w:eastAsia="zh-CN"/>
        </w:rPr>
      </w:pPr>
      <w:bookmarkStart w:id="55" w:name="_Ref18566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7</w:t>
      </w:r>
      <w:r>
        <w:fldChar w:fldCharType="end"/>
      </w:r>
      <w:bookmarkEnd w:id="55"/>
      <w:r>
        <w:rPr>
          <w:rFonts w:hint="eastAsia"/>
          <w:lang w:val="en-US" w:eastAsia="zh-CN"/>
        </w:rPr>
        <w:t xml:space="preserve">  粒型选择 3</w:t>
      </w:r>
    </w:p>
    <w:p w14:paraId="0191C64F">
      <w:pPr>
        <w:rPr>
          <w:rFonts w:ascii="宋体" w:hAnsi="宋体" w:cs="宋体"/>
          <w:spacing w:val="6"/>
          <w:szCs w:val="21"/>
        </w:rPr>
      </w:pPr>
      <w:r>
        <w:rPr>
          <w:rFonts w:ascii="宋体" w:hAnsi="宋体" w:cs="宋体"/>
          <w:spacing w:val="6"/>
          <w:szCs w:val="21"/>
        </w:rPr>
        <w:br w:type="page"/>
      </w:r>
    </w:p>
    <w:p w14:paraId="0019103C">
      <w:pPr>
        <w:pStyle w:val="5"/>
        <w:bidi w:val="0"/>
        <w:rPr>
          <w:rFonts w:hint="eastAsia"/>
          <w:lang w:val="en-US" w:eastAsia="zh-CN"/>
        </w:rPr>
      </w:pPr>
      <w:bookmarkStart w:id="56" w:name="_Toc6888"/>
      <w:r>
        <w:rPr>
          <w:rFonts w:hint="eastAsia"/>
          <w:lang w:val="en-US" w:eastAsia="zh-CN"/>
        </w:rPr>
        <w:t>球形颗粒</w:t>
      </w:r>
      <w:bookmarkEnd w:id="56"/>
    </w:p>
    <w:p w14:paraId="6307C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480" w:firstLineChars="200"/>
        <w:jc w:val="left"/>
        <w:textAlignment w:val="auto"/>
      </w:pPr>
      <w:r>
        <w:rPr>
          <w:rFonts w:hint="eastAsia"/>
        </w:rPr>
        <w:t>点击“开始”按键，当前状态由“待检测”变为“检测中”如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_Ref19076 \h </w:instrText>
      </w:r>
      <w:r>
        <w:rPr>
          <w:rFonts w:hint="eastAsia"/>
        </w:rPr>
        <w:fldChar w:fldCharType="separate"/>
      </w:r>
      <w:r>
        <w:t>图 8</w:t>
      </w:r>
      <w:r>
        <w:rPr>
          <w:rFonts w:hint="eastAsia"/>
        </w:rPr>
        <w:fldChar w:fldCharType="end"/>
      </w:r>
      <w:r>
        <w:rPr>
          <w:rFonts w:hint="eastAsia"/>
        </w:rPr>
        <w:t>，检测期间仅“停止”</w:t>
      </w:r>
      <w:r>
        <w:rPr>
          <w:rFonts w:hint="eastAsia"/>
          <w:lang w:val="en-US" w:eastAsia="zh-CN"/>
        </w:rPr>
        <w:t>按键</w:t>
      </w:r>
      <w:r>
        <w:rPr>
          <w:rFonts w:hint="eastAsia"/>
        </w:rPr>
        <w:t>可以操作，其余按键均无法操作。</w:t>
      </w:r>
    </w:p>
    <w:p w14:paraId="49A76D4B">
      <w:pPr>
        <w:spacing w:after="0" w:line="360" w:lineRule="auto"/>
        <w:ind w:left="0" w:leftChars="0" w:firstLine="0" w:firstLineChars="0"/>
        <w:jc w:val="center"/>
      </w:pPr>
    </w:p>
    <w:p w14:paraId="5FBADEC4">
      <w:pPr>
        <w:spacing w:after="0"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3420110" cy="2279650"/>
            <wp:effectExtent l="15875" t="15875" r="88265" b="85725"/>
            <wp:docPr id="4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ECF52DB">
      <w:pPr>
        <w:pStyle w:val="12"/>
        <w:spacing w:after="0" w:line="360" w:lineRule="auto"/>
        <w:jc w:val="center"/>
        <w:rPr>
          <w:rFonts w:hint="eastAsia"/>
          <w:lang w:val="en-US" w:eastAsia="zh-CN"/>
        </w:rPr>
      </w:pPr>
      <w:bookmarkStart w:id="57" w:name="_Ref19076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8</w:t>
      </w:r>
      <w:r>
        <w:fldChar w:fldCharType="end"/>
      </w:r>
      <w:bookmarkEnd w:id="57"/>
      <w:r>
        <w:rPr>
          <w:rFonts w:hint="eastAsia"/>
          <w:lang w:val="en-US" w:eastAsia="zh-CN"/>
        </w:rPr>
        <w:t xml:space="preserve">  检测中</w:t>
      </w:r>
    </w:p>
    <w:p w14:paraId="14A616D6">
      <w:pPr>
        <w:pStyle w:val="5"/>
        <w:bidi w:val="0"/>
        <w:rPr>
          <w:rFonts w:hint="default"/>
          <w:lang w:val="en-US" w:eastAsia="zh-CN"/>
        </w:rPr>
      </w:pPr>
      <w:bookmarkStart w:id="58" w:name="_Toc19712"/>
      <w:r>
        <w:rPr>
          <w:rFonts w:hint="eastAsia"/>
          <w:lang w:val="en-US" w:eastAsia="zh-CN"/>
        </w:rPr>
        <w:t>条形颗粒</w:t>
      </w:r>
      <w:bookmarkEnd w:id="58"/>
    </w:p>
    <w:p w14:paraId="63AC8E2D">
      <w:pPr>
        <w:numPr>
          <w:ilvl w:val="0"/>
          <w:numId w:val="0"/>
        </w:numPr>
        <w:bidi w:val="0"/>
        <w:ind w:leftChars="0" w:firstLine="480" w:firstLineChars="200"/>
      </w:pPr>
      <w:r>
        <w:rPr>
          <w:rFonts w:hint="eastAsia"/>
        </w:rPr>
        <w:t>当界面处于条形颗粒时，需要输入颗粒长度，</w:t>
      </w:r>
      <w:r>
        <w:rPr>
          <w:rFonts w:hint="eastAsia"/>
          <w:lang w:val="en-US" w:eastAsia="zh-CN"/>
        </w:rPr>
        <w:t>如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_Ref23360 \h </w:instrText>
      </w:r>
      <w:r>
        <w:rPr>
          <w:rFonts w:hint="eastAsia"/>
          <w:lang w:val="en-US" w:eastAsia="zh-CN"/>
        </w:rPr>
        <w:fldChar w:fldCharType="separate"/>
      </w:r>
      <w:r>
        <w:t>图 9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~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_Ref19406 \h </w:instrText>
      </w:r>
      <w:r>
        <w:rPr>
          <w:rFonts w:hint="eastAsia"/>
          <w:lang w:val="en-US" w:eastAsia="zh-CN"/>
        </w:rPr>
        <w:fldChar w:fldCharType="separate"/>
      </w:r>
      <w:r>
        <w:t>图 10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。</w:t>
      </w:r>
      <w:r>
        <w:rPr>
          <w:rFonts w:hint="eastAsia"/>
        </w:rPr>
        <w:t>再</w:t>
      </w:r>
      <w:r>
        <w:rPr>
          <w:rFonts w:hint="eastAsia"/>
          <w:lang w:val="en-US" w:eastAsia="zh-CN"/>
        </w:rPr>
        <w:t>点击</w:t>
      </w:r>
      <w:r>
        <w:rPr>
          <w:rFonts w:hint="eastAsia"/>
        </w:rPr>
        <w:t>“开始”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REF _Ref19559 \h </w:instrText>
      </w:r>
      <w:r>
        <w:rPr>
          <w:rFonts w:hint="eastAsia"/>
          <w:lang w:eastAsia="zh-CN"/>
        </w:rPr>
        <w:fldChar w:fldCharType="separate"/>
      </w:r>
      <w:r>
        <w:t>图 11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。</w:t>
      </w:r>
      <w:r>
        <w:rPr>
          <w:rFonts w:hint="eastAsia"/>
        </w:rPr>
        <w:t>如未输入颗粒长度数值，则系统会弹出提示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_Ref20418 \h </w:instrText>
      </w:r>
      <w:r>
        <w:rPr>
          <w:rFonts w:hint="eastAsia"/>
        </w:rPr>
        <w:fldChar w:fldCharType="separate"/>
      </w:r>
      <w:r>
        <w:t>图 12</w:t>
      </w:r>
      <w:r>
        <w:rPr>
          <w:rFonts w:hint="eastAsia"/>
        </w:rPr>
        <w:fldChar w:fldCharType="end"/>
      </w:r>
      <w:r>
        <w:rPr>
          <w:rFonts w:hint="eastAsia"/>
          <w:lang w:eastAsia="zh-CN"/>
        </w:rPr>
        <w:t>。</w:t>
      </w:r>
      <w:r>
        <w:rPr>
          <w:rFonts w:hint="eastAsia"/>
        </w:rPr>
        <w:t>颗粒长度需在技术参数的规定范围之内，如长度不在规定范围内，系统会弹出提示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_Ref20549 \h </w:instrText>
      </w:r>
      <w:r>
        <w:rPr>
          <w:rFonts w:hint="eastAsia"/>
        </w:rPr>
        <w:fldChar w:fldCharType="separate"/>
      </w:r>
      <w:r>
        <w:t>图 13</w:t>
      </w:r>
      <w:r>
        <w:rPr>
          <w:rFonts w:hint="eastAsia"/>
        </w:rPr>
        <w:fldChar w:fldCharType="end"/>
      </w:r>
      <w:r>
        <w:rPr>
          <w:rFonts w:hint="eastAsia"/>
          <w:lang w:eastAsia="zh-CN"/>
        </w:rPr>
        <w:t>。</w:t>
      </w:r>
      <w:r>
        <w:rPr>
          <w:rFonts w:hint="eastAsia"/>
        </w:rPr>
        <w:t>点击“确认”后重新输入。</w:t>
      </w:r>
    </w:p>
    <w:p w14:paraId="0C231DD2">
      <w:pPr>
        <w:rPr>
          <w:rFonts w:hint="eastAsia"/>
          <w:lang w:val="en-US" w:eastAsia="zh-CN"/>
        </w:rPr>
      </w:pPr>
    </w:p>
    <w:p w14:paraId="326B0166">
      <w:pPr>
        <w:spacing w:after="0"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3420110" cy="2279650"/>
            <wp:effectExtent l="15875" t="15875" r="88265" b="85725"/>
            <wp:docPr id="4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EF87DC2">
      <w:pPr>
        <w:pStyle w:val="12"/>
        <w:spacing w:after="0" w:line="360" w:lineRule="auto"/>
        <w:jc w:val="center"/>
        <w:rPr>
          <w:rFonts w:hint="eastAsia"/>
          <w:lang w:val="en-US" w:eastAsia="zh-CN"/>
        </w:rPr>
      </w:pPr>
      <w:bookmarkStart w:id="59" w:name="_Ref23360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9</w:t>
      </w:r>
      <w:r>
        <w:fldChar w:fldCharType="end"/>
      </w:r>
      <w:bookmarkEnd w:id="59"/>
      <w:r>
        <w:rPr>
          <w:rFonts w:hint="eastAsia"/>
          <w:lang w:val="en-US" w:eastAsia="zh-CN"/>
        </w:rPr>
        <w:t xml:space="preserve">  输入长度 1</w:t>
      </w:r>
    </w:p>
    <w:p w14:paraId="718D039E">
      <w:pPr>
        <w:rPr>
          <w:rFonts w:hint="default"/>
          <w:lang w:val="en-US" w:eastAsia="zh-CN"/>
        </w:rPr>
      </w:pPr>
    </w:p>
    <w:p w14:paraId="573C90EC">
      <w:pPr>
        <w:spacing w:after="0"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3347720" cy="2231390"/>
            <wp:effectExtent l="15875" t="15875" r="84455" b="76835"/>
            <wp:docPr id="4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47720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14B2D2C">
      <w:pPr>
        <w:pStyle w:val="12"/>
        <w:spacing w:after="0" w:line="360" w:lineRule="auto"/>
        <w:jc w:val="center"/>
        <w:rPr>
          <w:rFonts w:hint="eastAsia"/>
          <w:lang w:val="en-US" w:eastAsia="zh-CN"/>
        </w:rPr>
      </w:pPr>
      <w:bookmarkStart w:id="60" w:name="_Ref19406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10</w:t>
      </w:r>
      <w:r>
        <w:fldChar w:fldCharType="end"/>
      </w:r>
      <w:bookmarkEnd w:id="60"/>
      <w:r>
        <w:rPr>
          <w:rFonts w:hint="eastAsia"/>
          <w:lang w:val="en-US" w:eastAsia="zh-CN"/>
        </w:rPr>
        <w:t xml:space="preserve">  输入长度 2</w:t>
      </w:r>
    </w:p>
    <w:p w14:paraId="7886E68D">
      <w:pPr>
        <w:bidi w:val="0"/>
        <w:ind w:left="0" w:leftChars="0" w:firstLine="0" w:firstLineChars="0"/>
        <w:jc w:val="center"/>
      </w:pPr>
      <w:r>
        <w:drawing>
          <wp:inline distT="0" distB="0" distL="114300" distR="114300">
            <wp:extent cx="3420110" cy="2280285"/>
            <wp:effectExtent l="15875" t="15875" r="88265" b="85090"/>
            <wp:docPr id="4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CE75A8A">
      <w:pPr>
        <w:pStyle w:val="12"/>
        <w:spacing w:after="0" w:line="360" w:lineRule="auto"/>
        <w:jc w:val="center"/>
        <w:rPr>
          <w:rFonts w:hint="default" w:eastAsia="黑体"/>
          <w:lang w:val="en-US" w:eastAsia="zh-CN"/>
        </w:rPr>
      </w:pPr>
      <w:bookmarkStart w:id="61" w:name="_Ref19559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11</w:t>
      </w:r>
      <w:r>
        <w:fldChar w:fldCharType="end"/>
      </w:r>
      <w:bookmarkEnd w:id="61"/>
      <w:r>
        <w:rPr>
          <w:rFonts w:hint="eastAsia"/>
          <w:lang w:val="en-US" w:eastAsia="zh-CN"/>
        </w:rPr>
        <w:t xml:space="preserve">  条形测量</w:t>
      </w:r>
    </w:p>
    <w:p w14:paraId="1C49DAA0">
      <w:pPr>
        <w:spacing w:after="0"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3420110" cy="2280285"/>
            <wp:effectExtent l="15875" t="15875" r="88265" b="85090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1882EE2">
      <w:pPr>
        <w:pStyle w:val="12"/>
        <w:spacing w:after="0" w:line="360" w:lineRule="auto"/>
        <w:jc w:val="center"/>
        <w:rPr>
          <w:rFonts w:hint="default" w:eastAsia="黑体"/>
          <w:lang w:val="en-US" w:eastAsia="zh-CN"/>
        </w:rPr>
      </w:pPr>
      <w:bookmarkStart w:id="62" w:name="_Ref20418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12</w:t>
      </w:r>
      <w:r>
        <w:fldChar w:fldCharType="end"/>
      </w:r>
      <w:bookmarkEnd w:id="62"/>
      <w:r>
        <w:rPr>
          <w:rFonts w:hint="eastAsia"/>
          <w:lang w:val="en-US" w:eastAsia="zh-CN"/>
        </w:rPr>
        <w:t xml:space="preserve">  长度提示</w:t>
      </w:r>
    </w:p>
    <w:p w14:paraId="1C825C5F">
      <w:pPr>
        <w:spacing w:after="0"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3420110" cy="2280285"/>
            <wp:effectExtent l="15875" t="15875" r="88265" b="85090"/>
            <wp:docPr id="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1EF2F8A">
      <w:pPr>
        <w:pStyle w:val="12"/>
        <w:spacing w:after="0" w:line="360" w:lineRule="auto"/>
        <w:jc w:val="center"/>
        <w:rPr>
          <w:rFonts w:hint="eastAsia"/>
          <w:lang w:val="en-US" w:eastAsia="zh-CN"/>
        </w:rPr>
      </w:pPr>
      <w:bookmarkStart w:id="63" w:name="_Ref20549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13</w:t>
      </w:r>
      <w:r>
        <w:fldChar w:fldCharType="end"/>
      </w:r>
      <w:bookmarkEnd w:id="63"/>
      <w:r>
        <w:rPr>
          <w:rFonts w:hint="eastAsia"/>
          <w:lang w:val="en-US" w:eastAsia="zh-CN"/>
        </w:rPr>
        <w:t xml:space="preserve">  长度范围</w:t>
      </w:r>
    </w:p>
    <w:p w14:paraId="1E2BA1A2">
      <w:pPr>
        <w:rPr>
          <w:rFonts w:hint="default"/>
          <w:lang w:val="en-US" w:eastAsia="zh-CN"/>
        </w:rPr>
      </w:pPr>
    </w:p>
    <w:p w14:paraId="33106022">
      <w:pPr>
        <w:pStyle w:val="5"/>
        <w:bidi w:val="0"/>
        <w:rPr>
          <w:rFonts w:hint="eastAsia"/>
          <w:lang w:val="en-US" w:eastAsia="zh-CN"/>
        </w:rPr>
      </w:pPr>
      <w:bookmarkStart w:id="64" w:name="_Toc20000"/>
      <w:r>
        <w:rPr>
          <w:rFonts w:hint="eastAsia"/>
          <w:lang w:val="en-US" w:eastAsia="zh-CN"/>
        </w:rPr>
        <w:t>柱形颗粒</w:t>
      </w:r>
      <w:bookmarkEnd w:id="64"/>
    </w:p>
    <w:p w14:paraId="3B7C7426">
      <w:pPr>
        <w:bidi w:val="0"/>
        <w:rPr>
          <w:rFonts w:hint="eastAsia"/>
        </w:rPr>
      </w:pPr>
      <w:r>
        <w:rPr>
          <w:rFonts w:hint="eastAsia"/>
        </w:rPr>
        <w:t>当前界面处于柱形颗粒时，需要选择接触方式</w:t>
      </w:r>
      <w:r>
        <w:rPr>
          <w:rFonts w:hint="eastAsia"/>
          <w:lang w:eastAsia="zh-CN"/>
        </w:rPr>
        <w:t>。</w:t>
      </w:r>
      <w:r>
        <w:rPr>
          <w:rFonts w:hint="eastAsia"/>
        </w:rPr>
        <w:t>面接触时需要输入截面积后开始测试，线接触时不需要输入截面积。未选择接触方式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如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_Ref24435 \h </w:instrText>
      </w:r>
      <w:r>
        <w:rPr>
          <w:rFonts w:hint="eastAsia"/>
          <w:lang w:val="en-US" w:eastAsia="zh-CN"/>
        </w:rPr>
        <w:fldChar w:fldCharType="separate"/>
      </w:r>
      <w:r>
        <w:t>图 14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）</w:t>
      </w:r>
      <w:r>
        <w:rPr>
          <w:rFonts w:hint="eastAsia"/>
        </w:rPr>
        <w:t>或者选择面接触却未输入截面积</w:t>
      </w: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REF _Ref24689 \h </w:instrText>
      </w:r>
      <w:r>
        <w:rPr>
          <w:rFonts w:hint="eastAsia"/>
          <w:lang w:eastAsia="zh-CN"/>
        </w:rPr>
        <w:fldChar w:fldCharType="separate"/>
      </w:r>
      <w:r>
        <w:t>图 15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）</w:t>
      </w:r>
      <w:r>
        <w:rPr>
          <w:rFonts w:hint="eastAsia"/>
        </w:rPr>
        <w:t>时，点击“开始”按键会弹出提示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REF _Ref24751 \h </w:instrText>
      </w:r>
      <w:r>
        <w:rPr>
          <w:rFonts w:hint="eastAsia"/>
          <w:lang w:eastAsia="zh-CN"/>
        </w:rPr>
        <w:fldChar w:fldCharType="separate"/>
      </w:r>
      <w:r>
        <w:t>图 16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val="en-US" w:eastAsia="zh-CN"/>
        </w:rPr>
        <w:t xml:space="preserve"> ~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_Ref25202 \h </w:instrText>
      </w:r>
      <w:r>
        <w:rPr>
          <w:rFonts w:hint="eastAsia"/>
          <w:lang w:val="en-US" w:eastAsia="zh-CN"/>
        </w:rPr>
        <w:fldChar w:fldCharType="separate"/>
      </w:r>
      <w:r>
        <w:t>图 17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</w:rPr>
        <w:t>。颗粒截面积需在技术参数的规定范围之内，如截面积不在规定范围内，系统会弹出提示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_Ref25231 \h </w:instrText>
      </w:r>
      <w:r>
        <w:rPr>
          <w:rFonts w:hint="eastAsia"/>
        </w:rPr>
        <w:fldChar w:fldCharType="separate"/>
      </w:r>
      <w:r>
        <w:t>图 18</w:t>
      </w:r>
      <w:r>
        <w:rPr>
          <w:rFonts w:hint="eastAsia"/>
        </w:rPr>
        <w:fldChar w:fldCharType="end"/>
      </w:r>
      <w:r>
        <w:rPr>
          <w:rFonts w:hint="eastAsia"/>
          <w:lang w:eastAsia="zh-CN"/>
        </w:rPr>
        <w:t>。</w:t>
      </w:r>
      <w:r>
        <w:rPr>
          <w:rFonts w:hint="eastAsia"/>
        </w:rPr>
        <w:t>点击“确认”后重新输入。</w:t>
      </w:r>
    </w:p>
    <w:p w14:paraId="55E165A8">
      <w:pPr>
        <w:bidi w:val="0"/>
        <w:rPr>
          <w:rFonts w:hint="eastAsia"/>
        </w:rPr>
      </w:pPr>
    </w:p>
    <w:p w14:paraId="0E10AE90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866515" cy="2577465"/>
            <wp:effectExtent l="15875" t="15875" r="80010" b="73660"/>
            <wp:docPr id="4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66515" cy="257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9E582B6">
      <w:pPr>
        <w:pStyle w:val="12"/>
        <w:spacing w:after="0" w:line="360" w:lineRule="auto"/>
        <w:ind w:firstLine="420"/>
        <w:jc w:val="center"/>
        <w:rPr>
          <w:rFonts w:hint="default" w:eastAsia="黑体"/>
          <w:lang w:val="en-US" w:eastAsia="zh-CN"/>
        </w:rPr>
      </w:pPr>
      <w:bookmarkStart w:id="65" w:name="_Ref24435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14</w:t>
      </w:r>
      <w:r>
        <w:fldChar w:fldCharType="end"/>
      </w:r>
      <w:bookmarkEnd w:id="65"/>
      <w:r>
        <w:rPr>
          <w:rFonts w:hint="eastAsia"/>
          <w:lang w:val="en-US" w:eastAsia="zh-CN"/>
        </w:rPr>
        <w:t xml:space="preserve">  柱形颗粒 1</w:t>
      </w:r>
    </w:p>
    <w:p w14:paraId="017E978E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383915" cy="2256155"/>
            <wp:effectExtent l="15875" t="15875" r="86360" b="71120"/>
            <wp:docPr id="4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83915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20463E8">
      <w:pPr>
        <w:pStyle w:val="12"/>
        <w:spacing w:after="0" w:line="360" w:lineRule="auto"/>
        <w:ind w:firstLine="420"/>
        <w:jc w:val="center"/>
        <w:rPr>
          <w:rFonts w:hint="default" w:eastAsia="黑体"/>
          <w:lang w:val="en-US" w:eastAsia="zh-CN"/>
        </w:rPr>
      </w:pPr>
      <w:bookmarkStart w:id="66" w:name="_Ref24689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15</w:t>
      </w:r>
      <w:r>
        <w:fldChar w:fldCharType="end"/>
      </w:r>
      <w:bookmarkEnd w:id="66"/>
      <w:r>
        <w:rPr>
          <w:rFonts w:hint="eastAsia"/>
          <w:lang w:val="en-US" w:eastAsia="zh-CN"/>
        </w:rPr>
        <w:t xml:space="preserve">  柱形颗粒 2</w:t>
      </w:r>
    </w:p>
    <w:p w14:paraId="0202962B">
      <w:pPr>
        <w:spacing w:after="0" w:line="360" w:lineRule="auto"/>
        <w:ind w:firstLine="420"/>
        <w:jc w:val="center"/>
      </w:pPr>
    </w:p>
    <w:p w14:paraId="4CF54F68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420110" cy="2280285"/>
            <wp:effectExtent l="15875" t="15875" r="88265" b="85090"/>
            <wp:docPr id="3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30F3E3F">
      <w:pPr>
        <w:pStyle w:val="12"/>
        <w:spacing w:after="0" w:line="360" w:lineRule="auto"/>
        <w:ind w:firstLine="420"/>
        <w:jc w:val="center"/>
        <w:rPr>
          <w:rFonts w:hint="default" w:eastAsia="黑体"/>
          <w:lang w:val="en-US" w:eastAsia="zh-CN"/>
        </w:rPr>
      </w:pPr>
      <w:bookmarkStart w:id="67" w:name="_Ref24751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16</w:t>
      </w:r>
      <w:r>
        <w:fldChar w:fldCharType="end"/>
      </w:r>
      <w:bookmarkEnd w:id="67"/>
      <w:r>
        <w:rPr>
          <w:rFonts w:hint="eastAsia"/>
          <w:lang w:val="en-US" w:eastAsia="zh-CN"/>
        </w:rPr>
        <w:t xml:space="preserve">  柱形颗粒 3</w:t>
      </w:r>
    </w:p>
    <w:p w14:paraId="68C9F626">
      <w:pPr>
        <w:spacing w:after="0" w:line="360" w:lineRule="auto"/>
        <w:ind w:firstLine="420"/>
        <w:jc w:val="center"/>
      </w:pPr>
    </w:p>
    <w:p w14:paraId="327608EB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420110" cy="2280285"/>
            <wp:effectExtent l="15875" t="15875" r="88265" b="85090"/>
            <wp:docPr id="3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9A86568">
      <w:pPr>
        <w:pStyle w:val="12"/>
        <w:spacing w:after="0" w:line="360" w:lineRule="auto"/>
        <w:ind w:firstLine="420"/>
        <w:jc w:val="center"/>
        <w:rPr>
          <w:rFonts w:hint="default" w:eastAsia="黑体"/>
          <w:lang w:val="en-US" w:eastAsia="zh-CN"/>
        </w:rPr>
      </w:pPr>
      <w:bookmarkStart w:id="68" w:name="_Ref25202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17</w:t>
      </w:r>
      <w:r>
        <w:fldChar w:fldCharType="end"/>
      </w:r>
      <w:bookmarkEnd w:id="68"/>
      <w:r>
        <w:rPr>
          <w:rFonts w:hint="eastAsia"/>
          <w:lang w:val="en-US" w:eastAsia="zh-CN"/>
        </w:rPr>
        <w:t xml:space="preserve">  输入截面积</w:t>
      </w:r>
    </w:p>
    <w:p w14:paraId="6B263C4D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850005" cy="2566670"/>
            <wp:effectExtent l="15875" t="15875" r="77470" b="84455"/>
            <wp:docPr id="3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50005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2CB84DB">
      <w:pPr>
        <w:pStyle w:val="12"/>
        <w:spacing w:after="0" w:line="360" w:lineRule="auto"/>
        <w:ind w:firstLine="420"/>
        <w:jc w:val="center"/>
        <w:rPr>
          <w:rFonts w:hint="eastAsia"/>
          <w:lang w:val="en-US" w:eastAsia="zh-CN"/>
        </w:rPr>
      </w:pPr>
      <w:bookmarkStart w:id="69" w:name="_Ref25231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18</w:t>
      </w:r>
      <w:r>
        <w:fldChar w:fldCharType="end"/>
      </w:r>
      <w:bookmarkEnd w:id="69"/>
      <w:r>
        <w:rPr>
          <w:rFonts w:hint="eastAsia"/>
          <w:lang w:val="en-US" w:eastAsia="zh-CN"/>
        </w:rPr>
        <w:t xml:space="preserve">  截面积范围</w:t>
      </w:r>
    </w:p>
    <w:p w14:paraId="11175469">
      <w:pPr>
        <w:rPr>
          <w:rFonts w:hint="default"/>
          <w:lang w:val="en-US" w:eastAsia="zh-CN"/>
        </w:rPr>
      </w:pPr>
    </w:p>
    <w:p w14:paraId="0749E7D6">
      <w:pPr>
        <w:pStyle w:val="5"/>
        <w:bidi w:val="0"/>
        <w:rPr>
          <w:rFonts w:hint="eastAsia"/>
          <w:lang w:val="en-US" w:eastAsia="zh-CN"/>
        </w:rPr>
      </w:pPr>
      <w:bookmarkStart w:id="70" w:name="_Toc12726"/>
      <w:r>
        <w:rPr>
          <w:rFonts w:hint="eastAsia"/>
          <w:lang w:val="en-US" w:eastAsia="zh-CN"/>
        </w:rPr>
        <w:t>其他设置</w:t>
      </w:r>
      <w:bookmarkEnd w:id="70"/>
    </w:p>
    <w:p w14:paraId="31F13A47">
      <w:pPr>
        <w:bidi w:val="0"/>
      </w:pPr>
      <w:r>
        <w:rPr>
          <w:rFonts w:hint="eastAsia"/>
        </w:rPr>
        <w:t>如当前颗粒类型已有一次或多次测试。基于此状态，切换其他测试类型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如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_Ref25702 \h </w:instrText>
      </w:r>
      <w:r>
        <w:rPr>
          <w:rFonts w:hint="eastAsia"/>
          <w:lang w:val="en-US" w:eastAsia="zh-CN"/>
        </w:rPr>
        <w:fldChar w:fldCharType="separate"/>
      </w:r>
      <w:r>
        <w:t>图 19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</w:rPr>
        <w:t>。系统会弹出提示界面如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_Ref25721 \h </w:instrText>
      </w:r>
      <w:r>
        <w:rPr>
          <w:rFonts w:hint="eastAsia"/>
        </w:rPr>
        <w:fldChar w:fldCharType="separate"/>
      </w:r>
      <w:r>
        <w:t>图 20</w:t>
      </w:r>
      <w:r>
        <w:rPr>
          <w:rFonts w:hint="eastAsia"/>
        </w:rPr>
        <w:fldChar w:fldCharType="end"/>
      </w:r>
      <w:r>
        <w:rPr>
          <w:rFonts w:hint="eastAsia"/>
          <w:lang w:eastAsia="zh-CN"/>
        </w:rPr>
        <w:t>。</w:t>
      </w:r>
      <w:r>
        <w:rPr>
          <w:rFonts w:hint="eastAsia"/>
        </w:rPr>
        <w:t>如点击“取消”按键，将撤销切换界面这一操作，恢复至当前测试类型，且保留历史压力数据，如果点击“确认”按键，系统将执行切换新测试类型，当前颗粒类型的历史压力数据将全部清除。</w:t>
      </w:r>
    </w:p>
    <w:p w14:paraId="149EF9B9">
      <w:pPr>
        <w:bidi w:val="0"/>
        <w:ind w:left="0" w:leftChars="0" w:firstLine="0" w:firstLineChars="0"/>
      </w:pPr>
    </w:p>
    <w:p w14:paraId="50F3CFB4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850005" cy="2566670"/>
            <wp:effectExtent l="15875" t="15875" r="77470" b="84455"/>
            <wp:docPr id="4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50005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781349A">
      <w:pPr>
        <w:pStyle w:val="12"/>
        <w:spacing w:after="0" w:line="360" w:lineRule="auto"/>
        <w:ind w:firstLine="420"/>
        <w:jc w:val="center"/>
        <w:rPr>
          <w:rFonts w:hint="default" w:eastAsia="黑体"/>
          <w:lang w:val="en-US" w:eastAsia="zh-CN"/>
        </w:rPr>
      </w:pPr>
      <w:bookmarkStart w:id="71" w:name="_Ref25702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19</w:t>
      </w:r>
      <w:r>
        <w:fldChar w:fldCharType="end"/>
      </w:r>
      <w:bookmarkEnd w:id="71"/>
      <w:r>
        <w:rPr>
          <w:rFonts w:hint="eastAsia"/>
          <w:lang w:val="en-US" w:eastAsia="zh-CN"/>
        </w:rPr>
        <w:t xml:space="preserve">  切换粒型</w:t>
      </w:r>
    </w:p>
    <w:p w14:paraId="0343AE43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834130" cy="2566670"/>
            <wp:effectExtent l="15875" t="15875" r="74295" b="84455"/>
            <wp:docPr id="3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834130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F458310">
      <w:pPr>
        <w:pStyle w:val="12"/>
        <w:spacing w:after="0" w:line="360" w:lineRule="auto"/>
        <w:ind w:firstLine="420"/>
        <w:jc w:val="center"/>
        <w:rPr>
          <w:rFonts w:hint="eastAsia"/>
          <w:lang w:val="en-US" w:eastAsia="zh-CN"/>
        </w:rPr>
      </w:pPr>
      <w:bookmarkStart w:id="72" w:name="_Ref25721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20</w:t>
      </w:r>
      <w:r>
        <w:fldChar w:fldCharType="end"/>
      </w:r>
      <w:bookmarkEnd w:id="72"/>
      <w:r>
        <w:rPr>
          <w:rFonts w:hint="eastAsia"/>
          <w:lang w:val="en-US" w:eastAsia="zh-CN"/>
        </w:rPr>
        <w:t xml:space="preserve">  数据清空提示</w:t>
      </w:r>
    </w:p>
    <w:p w14:paraId="11B0DE91">
      <w:pPr>
        <w:rPr>
          <w:rFonts w:hint="default"/>
          <w:lang w:val="en-US" w:eastAsia="zh-CN"/>
        </w:rPr>
      </w:pPr>
    </w:p>
    <w:p w14:paraId="03EE2EA9">
      <w:pPr>
        <w:bidi w:val="0"/>
        <w:rPr>
          <w:rFonts w:hint="eastAsia" w:eastAsia="宋体"/>
          <w:lang w:eastAsia="zh-CN"/>
        </w:rPr>
      </w:pPr>
      <w:r>
        <w:rPr>
          <w:rFonts w:hint="eastAsia"/>
        </w:rPr>
        <w:t>清零：将当前状态检测的压力数据归零，不影响测试，进入数据查看界面，不清除查看界面中存储的数据</w:t>
      </w:r>
      <w:r>
        <w:rPr>
          <w:rFonts w:hint="eastAsia"/>
          <w:lang w:eastAsia="zh-CN"/>
        </w:rPr>
        <w:t>。</w:t>
      </w:r>
    </w:p>
    <w:p w14:paraId="5BD8FC00">
      <w:pPr>
        <w:bidi w:val="0"/>
        <w:rPr>
          <w:rFonts w:hint="eastAsia" w:eastAsia="宋体"/>
          <w:lang w:eastAsia="zh-CN"/>
        </w:rPr>
      </w:pPr>
      <w:r>
        <w:rPr>
          <w:rFonts w:hint="eastAsia"/>
        </w:rPr>
        <w:t>返回：返回到主页</w:t>
      </w:r>
      <w:r>
        <w:rPr>
          <w:rFonts w:hint="eastAsia"/>
          <w:lang w:eastAsia="zh-CN"/>
        </w:rPr>
        <w:t>。</w:t>
      </w:r>
    </w:p>
    <w:p w14:paraId="28534C40">
      <w:pPr>
        <w:bidi w:val="0"/>
        <w:rPr>
          <w:rFonts w:hint="eastAsia" w:eastAsia="宋体"/>
          <w:lang w:eastAsia="zh-CN"/>
        </w:rPr>
      </w:pPr>
      <w:r>
        <w:rPr>
          <w:rFonts w:hint="eastAsia"/>
        </w:rPr>
        <w:t>停止：检测开始系统处于“检测中”状态时，点击“停止”按键，当前单次的测试结果不记录，且不累计次数，不存入查看界面中</w:t>
      </w:r>
      <w:r>
        <w:rPr>
          <w:rFonts w:hint="eastAsia"/>
          <w:lang w:eastAsia="zh-CN"/>
        </w:rPr>
        <w:t>。</w:t>
      </w:r>
    </w:p>
    <w:p w14:paraId="4D1B25A2">
      <w:pPr>
        <w:bidi w:val="0"/>
        <w:rPr>
          <w:rFonts w:hint="eastAsia"/>
          <w:lang w:eastAsia="zh-CN"/>
        </w:rPr>
      </w:pPr>
      <w:r>
        <w:rPr>
          <w:rFonts w:hint="eastAsia"/>
        </w:rPr>
        <w:t>查看：进入查看界面，可存储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15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次测试的数据，保存此轮测试的压力平均值以及变异系数，如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_Ref25992 \h </w:instrText>
      </w:r>
      <w:r>
        <w:rPr>
          <w:rFonts w:hint="eastAsia"/>
        </w:rPr>
        <w:fldChar w:fldCharType="separate"/>
      </w:r>
      <w:r>
        <w:t>图 22</w:t>
      </w:r>
      <w:r>
        <w:rPr>
          <w:rFonts w:hint="eastAsia"/>
        </w:rPr>
        <w:fldChar w:fldCharType="end"/>
      </w:r>
      <w:r>
        <w:rPr>
          <w:rFonts w:hint="eastAsia"/>
          <w:lang w:eastAsia="zh-CN"/>
        </w:rPr>
        <w:t>。</w:t>
      </w:r>
    </w:p>
    <w:p w14:paraId="17DA19E5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850005" cy="2566670"/>
            <wp:effectExtent l="15875" t="15875" r="77470" b="84455"/>
            <wp:docPr id="4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850005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88BD35B">
      <w:pPr>
        <w:pStyle w:val="12"/>
        <w:spacing w:after="0" w:line="360" w:lineRule="auto"/>
        <w:ind w:firstLine="420"/>
        <w:jc w:val="center"/>
        <w:rPr>
          <w:rFonts w:hint="default" w:eastAsia="黑体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21</w:t>
      </w:r>
      <w:r>
        <w:fldChar w:fldCharType="end"/>
      </w:r>
      <w:r>
        <w:rPr>
          <w:rFonts w:hint="eastAsia"/>
          <w:lang w:val="en-US" w:eastAsia="zh-CN"/>
        </w:rPr>
        <w:t xml:space="preserve">  查看</w:t>
      </w:r>
    </w:p>
    <w:p w14:paraId="343B07CF">
      <w:pPr>
        <w:spacing w:after="0" w:line="360" w:lineRule="auto"/>
        <w:ind w:firstLine="420"/>
        <w:jc w:val="center"/>
        <w:rPr>
          <w:rFonts w:hint="eastAsia" w:ascii="宋体" w:hAnsi="宋体" w:cs="宋体"/>
          <w:spacing w:val="6"/>
          <w:szCs w:val="21"/>
        </w:rPr>
      </w:pPr>
      <w:r>
        <w:rPr>
          <w:rFonts w:hint="eastAsia" w:ascii="宋体" w:hAnsi="宋体" w:cs="宋体"/>
          <w:spacing w:val="6"/>
          <w:szCs w:val="21"/>
        </w:rPr>
        <w:drawing>
          <wp:inline distT="0" distB="0" distL="114300" distR="114300">
            <wp:extent cx="3920490" cy="2614295"/>
            <wp:effectExtent l="15875" t="15875" r="83185" b="74930"/>
            <wp:docPr id="2" name="图片 2" descr="05fea3f3f3bd4410b87944f4e6357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5fea3f3f3bd4410b87944f4e635739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920490" cy="261429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88284C8">
      <w:pPr>
        <w:pStyle w:val="12"/>
        <w:spacing w:after="0" w:line="360" w:lineRule="auto"/>
        <w:ind w:firstLine="420"/>
        <w:jc w:val="center"/>
        <w:rPr>
          <w:rFonts w:hint="eastAsia"/>
          <w:lang w:val="en-US" w:eastAsia="zh-CN"/>
        </w:rPr>
      </w:pPr>
      <w:bookmarkStart w:id="73" w:name="_Ref25992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22</w:t>
      </w:r>
      <w:r>
        <w:fldChar w:fldCharType="end"/>
      </w:r>
      <w:bookmarkEnd w:id="73"/>
      <w:r>
        <w:rPr>
          <w:rFonts w:hint="eastAsia"/>
          <w:lang w:val="en-US" w:eastAsia="zh-CN"/>
        </w:rPr>
        <w:t xml:space="preserve">  测试数据</w:t>
      </w:r>
    </w:p>
    <w:p w14:paraId="3D35BA57">
      <w:pPr>
        <w:rPr>
          <w:rFonts w:hint="default"/>
          <w:lang w:val="en-US" w:eastAsia="zh-CN"/>
        </w:rPr>
      </w:pPr>
    </w:p>
    <w:p w14:paraId="50863398">
      <w:pPr>
        <w:bidi w:val="0"/>
        <w:rPr>
          <w:rFonts w:hint="eastAsia"/>
          <w:lang w:eastAsia="zh-CN"/>
        </w:rPr>
      </w:pPr>
      <w:r>
        <w:rPr>
          <w:rFonts w:hint="eastAsia"/>
        </w:rPr>
        <w:t>如用户测试完成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15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次，点击“打印”按键，打印本轮的测试数据；点击“清空”按键，本轮的测试数据将清空；点击“返回”按键，返回原测试界面</w:t>
      </w:r>
      <w:r>
        <w:rPr>
          <w:rFonts w:hint="eastAsia"/>
          <w:lang w:eastAsia="zh-CN"/>
        </w:rPr>
        <w:t>。</w:t>
      </w:r>
    </w:p>
    <w:p w14:paraId="70552B35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77C48141">
      <w:pPr>
        <w:pStyle w:val="4"/>
        <w:bidi w:val="0"/>
        <w:rPr>
          <w:rFonts w:hint="default"/>
          <w:lang w:val="en-US" w:eastAsia="zh-CN"/>
        </w:rPr>
      </w:pPr>
      <w:bookmarkStart w:id="74" w:name="_Toc2697"/>
      <w:r>
        <w:rPr>
          <w:rFonts w:hint="eastAsia"/>
          <w:lang w:val="en-US" w:eastAsia="zh-CN"/>
        </w:rPr>
        <w:t>检测步骤</w:t>
      </w:r>
      <w:bookmarkEnd w:id="74"/>
    </w:p>
    <w:p w14:paraId="6C7EBE06"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脆性颗粒测试过程：</w:t>
      </w:r>
    </w:p>
    <w:p w14:paraId="73D66F8A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点击“开始”按键，手摇摇杆向下运动</w:t>
      </w:r>
      <w:r>
        <w:rPr>
          <w:rFonts w:hint="eastAsia"/>
        </w:rPr>
        <w:t>，接触</w:t>
      </w:r>
      <w:r>
        <w:rPr>
          <w:rFonts w:hint="eastAsia"/>
          <w:lang w:val="en-US" w:eastAsia="zh-CN"/>
        </w:rPr>
        <w:t>当前</w:t>
      </w:r>
      <w:r>
        <w:rPr>
          <w:rFonts w:hint="eastAsia"/>
        </w:rPr>
        <w:t>样品，显示当前压力值，至被测样品破碎，蜂鸣器</w:t>
      </w:r>
      <w:r>
        <w:rPr>
          <w:rFonts w:hint="eastAsia"/>
          <w:lang w:val="en-US" w:eastAsia="zh-CN"/>
        </w:rPr>
        <w:t>报警，一次测试结束。</w:t>
      </w:r>
    </w:p>
    <w:p w14:paraId="4ACEC875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若测试样品超过仪器最大量程，当前测试数据不计，不计次数。</w:t>
      </w:r>
    </w:p>
    <w:p w14:paraId="037BDF92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</w:pPr>
      <w:r>
        <w:rPr>
          <w:rFonts w:hint="eastAsia"/>
          <w:lang w:val="en-US" w:eastAsia="zh-CN"/>
        </w:rPr>
        <w:t>如 15 次均为有效测试，系统从当前测试界面跳转至查看界面。界面中记录本轮测试的压力值、平均压力值、变异系数信息。根据个人需求可选择“清空”，“返回”。选择“清空”，则清空当前页面的所有数据；选择“返回”按键返回上一级测试界面从第 1 次开始记录次数。</w:t>
      </w:r>
    </w:p>
    <w:p w14:paraId="7243949B"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【注意】</w:t>
      </w:r>
    </w:p>
    <w:p w14:paraId="44540B55">
      <w:pPr>
        <w:bidi w:val="0"/>
        <w:ind w:left="0" w:leftChars="0" w:firstLine="480" w:firstLineChars="200"/>
        <w:rPr>
          <w:rFonts w:hint="eastAsia"/>
        </w:rPr>
      </w:pPr>
      <w:r>
        <w:rPr>
          <w:rFonts w:hint="eastAsia"/>
        </w:rPr>
        <w:t>测试过程中请选择规则的样品，球形尽量规则，条形颗粒、柱形颗粒在测量中长度、截面积数据需测量准确，否则影响测试准确性。在开机时，如果仪器不显示“0”，点击“清零”按键。所有测试过程中点击“停止”按键，此次测试不计数据，不计次数。</w:t>
      </w:r>
    </w:p>
    <w:p w14:paraId="018912D4">
      <w:pPr>
        <w:bidi w:val="0"/>
        <w:rPr>
          <w:rFonts w:hint="eastAsia"/>
        </w:rPr>
      </w:pPr>
    </w:p>
    <w:p w14:paraId="2605F6DE">
      <w:pPr>
        <w:bidi w:val="0"/>
        <w:rPr>
          <w:rFonts w:hint="eastAsia"/>
        </w:rPr>
      </w:pPr>
    </w:p>
    <w:p w14:paraId="1DB95B4D">
      <w:pPr>
        <w:pStyle w:val="12"/>
        <w:rPr>
          <w:rFonts w:hint="default" w:eastAsia="黑体"/>
          <w:lang w:val="en-US" w:eastAsia="zh-CN"/>
        </w:rPr>
      </w:pPr>
      <w:r>
        <w:t xml:space="preserve">表 </w:t>
      </w:r>
      <w:r>
        <w:fldChar w:fldCharType="begin"/>
      </w:r>
      <w:r>
        <w:instrText xml:space="preserve"> SEQ 表 \* ARABIC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砝码量与对应示值关系</w:t>
      </w:r>
    </w:p>
    <w:tbl>
      <w:tblPr>
        <w:tblStyle w:val="23"/>
        <w:tblW w:w="9071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3"/>
        <w:gridCol w:w="820"/>
        <w:gridCol w:w="973"/>
        <w:gridCol w:w="973"/>
        <w:gridCol w:w="973"/>
        <w:gridCol w:w="973"/>
        <w:gridCol w:w="1128"/>
        <w:gridCol w:w="1128"/>
      </w:tblGrid>
      <w:tr w14:paraId="41D2F53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103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C65DE0A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加砝码量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g）</w:t>
            </w:r>
          </w:p>
        </w:tc>
        <w:tc>
          <w:tcPr>
            <w:tcW w:w="82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82258D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500</w:t>
            </w:r>
          </w:p>
        </w:tc>
        <w:tc>
          <w:tcPr>
            <w:tcW w:w="973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CF02BBB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1000</w:t>
            </w:r>
          </w:p>
        </w:tc>
        <w:tc>
          <w:tcPr>
            <w:tcW w:w="973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1CA83B8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2000</w:t>
            </w:r>
          </w:p>
        </w:tc>
        <w:tc>
          <w:tcPr>
            <w:tcW w:w="973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226E309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3000</w:t>
            </w:r>
          </w:p>
        </w:tc>
        <w:tc>
          <w:tcPr>
            <w:tcW w:w="973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2B1A013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5000</w:t>
            </w:r>
          </w:p>
        </w:tc>
        <w:tc>
          <w:tcPr>
            <w:tcW w:w="1127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50FE37F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10000</w:t>
            </w:r>
          </w:p>
        </w:tc>
        <w:tc>
          <w:tcPr>
            <w:tcW w:w="1127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EE6F737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20000</w:t>
            </w:r>
          </w:p>
        </w:tc>
      </w:tr>
      <w:tr w14:paraId="1C347AC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103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B1E1815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对应示值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</w:rPr>
              <w:t>N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936C9D0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4.9</w:t>
            </w:r>
          </w:p>
        </w:tc>
        <w:tc>
          <w:tcPr>
            <w:tcW w:w="973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26484D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9.8</w:t>
            </w:r>
          </w:p>
        </w:tc>
        <w:tc>
          <w:tcPr>
            <w:tcW w:w="973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28478F2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19.6</w:t>
            </w:r>
          </w:p>
        </w:tc>
        <w:tc>
          <w:tcPr>
            <w:tcW w:w="973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5AFBB39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29.4</w:t>
            </w:r>
          </w:p>
        </w:tc>
        <w:tc>
          <w:tcPr>
            <w:tcW w:w="973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3D0EBF5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49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425487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98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6DB1C89">
            <w:pPr>
              <w:pStyle w:val="38"/>
              <w:bidi w:val="0"/>
              <w:snapToGrid w:val="0"/>
            </w:pPr>
            <w:r>
              <w:rPr>
                <w:rFonts w:hint="eastAsia"/>
              </w:rPr>
              <w:t>196</w:t>
            </w:r>
          </w:p>
        </w:tc>
      </w:tr>
    </w:tbl>
    <w:p w14:paraId="0BFCA654">
      <w:pPr>
        <w:spacing w:after="0" w:line="360" w:lineRule="auto"/>
        <w:jc w:val="both"/>
        <w:rPr>
          <w:rFonts w:hint="eastAsia" w:ascii="宋体" w:hAnsi="宋体" w:eastAsia="宋体" w:cs="宋体"/>
          <w:b/>
          <w:bCs/>
          <w:spacing w:val="6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注：</w:t>
      </w:r>
      <w:r>
        <w:rPr>
          <w:rFonts w:hint="eastAsia"/>
          <w:sz w:val="21"/>
          <w:szCs w:val="21"/>
        </w:rPr>
        <w:t xml:space="preserve">1N=102.04081 </w:t>
      </w:r>
      <w:r>
        <w:rPr>
          <w:rFonts w:hint="eastAsia"/>
          <w:sz w:val="21"/>
          <w:szCs w:val="21"/>
          <w:lang w:val="en-US" w:eastAsia="zh-CN"/>
        </w:rPr>
        <w:t>g</w:t>
      </w:r>
    </w:p>
    <w:p w14:paraId="082DD5F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089DEC60">
      <w:pPr>
        <w:pStyle w:val="2"/>
        <w:bidi w:val="0"/>
        <w:rPr>
          <w:rFonts w:hint="eastAsia"/>
        </w:rPr>
      </w:pPr>
      <w:bookmarkStart w:id="75" w:name="_Toc1374"/>
      <w:bookmarkStart w:id="76" w:name="_Toc3069"/>
      <w:r>
        <w:rPr>
          <w:rFonts w:hint="eastAsia"/>
        </w:rPr>
        <w:t>仪器维护</w:t>
      </w:r>
      <w:bookmarkEnd w:id="75"/>
      <w:bookmarkEnd w:id="76"/>
    </w:p>
    <w:p w14:paraId="04C02549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保持仪器清洁干燥，避免液体滴溅</w:t>
      </w:r>
      <w:r>
        <w:rPr>
          <w:rFonts w:hint="eastAsia"/>
          <w:lang w:eastAsia="zh-CN"/>
        </w:rPr>
        <w:t>。</w:t>
      </w:r>
    </w:p>
    <w:p w14:paraId="1A3F1196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检测完成</w:t>
      </w:r>
      <w:r>
        <w:rPr>
          <w:rFonts w:hint="eastAsia"/>
          <w:lang w:eastAsia="zh-CN"/>
        </w:rPr>
        <w:t>后</w:t>
      </w:r>
      <w:r>
        <w:rPr>
          <w:rFonts w:hint="eastAsia"/>
          <w:lang w:val="en-US" w:eastAsia="zh-CN"/>
        </w:rPr>
        <w:t>使用毛刷将颗粒碎屑清扫干净。</w:t>
      </w:r>
    </w:p>
    <w:p w14:paraId="1570FA93">
      <w:pPr>
        <w:rPr>
          <w:sz w:val="48"/>
          <w:szCs w:val="48"/>
        </w:rPr>
      </w:pPr>
    </w:p>
    <w:p w14:paraId="1E6F4CB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7BDD4CA3">
      <w:pPr>
        <w:pStyle w:val="2"/>
        <w:bidi w:val="0"/>
        <w:rPr>
          <w:rFonts w:hint="eastAsia"/>
        </w:rPr>
      </w:pPr>
      <w:bookmarkStart w:id="77" w:name="_Toc15330"/>
      <w:bookmarkStart w:id="78" w:name="_Toc24518"/>
      <w:r>
        <w:rPr>
          <w:rFonts w:hint="eastAsia"/>
        </w:rPr>
        <w:t>售后服务</w:t>
      </w:r>
      <w:bookmarkEnd w:id="77"/>
      <w:bookmarkEnd w:id="78"/>
    </w:p>
    <w:p w14:paraId="5A986ABD">
      <w:pPr>
        <w:pStyle w:val="4"/>
        <w:bidi w:val="0"/>
      </w:pPr>
      <w:bookmarkStart w:id="79" w:name="_Toc21116"/>
      <w:bookmarkStart w:id="80" w:name="_Toc10285"/>
      <w:r>
        <w:t>保修内容</w:t>
      </w:r>
      <w:bookmarkEnd w:id="79"/>
      <w:bookmarkEnd w:id="80"/>
    </w:p>
    <w:p w14:paraId="6AE479CC">
      <w:pPr>
        <w:bidi w:val="0"/>
        <w:rPr>
          <w:rFonts w:hint="eastAsia"/>
        </w:rPr>
      </w:pPr>
      <w:r>
        <w:rPr>
          <w:rFonts w:hint="eastAsia"/>
        </w:rPr>
        <w:t>本仪器自交货之日起 1 个月内，对因材料和制造方面的缺陷引起的障，本公司将负责保换。</w:t>
      </w:r>
    </w:p>
    <w:p w14:paraId="076CB532">
      <w:pPr>
        <w:bidi w:val="0"/>
      </w:pPr>
      <w:r>
        <w:rPr>
          <w:rFonts w:hint="eastAsia"/>
        </w:rPr>
        <w:t>本仪器自交货之日起 12 个月内，对因材料和制造方面的缺陷引起的故障提供保修。在</w:t>
      </w:r>
      <w:r>
        <w:t>保修期内，本公司将对被证明是有缺陷的仪器有选择地进行修理或更换</w:t>
      </w:r>
      <w:r>
        <w:rPr>
          <w:rFonts w:hint="eastAsia"/>
        </w:rPr>
        <w:t>。</w:t>
      </w:r>
    </w:p>
    <w:p w14:paraId="3FA179E2">
      <w:pPr>
        <w:bidi w:val="0"/>
        <w:rPr>
          <w:rFonts w:hint="eastAsia"/>
        </w:rPr>
      </w:pPr>
      <w:r>
        <w:t>保修的产品必须由用户送至本公司确定的维修部门。对于仪器从用户送往维修部门的运费由用户自行支付。本公司承担将仪器返回用户的运费</w:t>
      </w:r>
      <w:r>
        <w:rPr>
          <w:rFonts w:hint="eastAsia"/>
        </w:rPr>
        <w:t>。</w:t>
      </w:r>
      <w:r>
        <w:t>对于保修期外的修理，本公司将适当收取维修的成本费用。</w:t>
      </w:r>
    </w:p>
    <w:p w14:paraId="14AD0E45">
      <w:pPr>
        <w:pStyle w:val="4"/>
        <w:bidi w:val="0"/>
      </w:pPr>
      <w:bookmarkStart w:id="81" w:name="_Toc24359"/>
      <w:bookmarkStart w:id="82" w:name="_Toc24108"/>
      <w:r>
        <w:t>保修范围</w:t>
      </w:r>
      <w:bookmarkEnd w:id="81"/>
      <w:bookmarkEnd w:id="82"/>
    </w:p>
    <w:p w14:paraId="2432412A">
      <w:pPr>
        <w:bidi w:val="0"/>
      </w:pPr>
      <w:r>
        <w:t>上述保修不适合于因用户使用维护不当、在不符合要求的条件下使用、未经授权擅自维修或改装而引起的损坏。</w:t>
      </w:r>
    </w:p>
    <w:p w14:paraId="5BD96EC9">
      <w:pPr>
        <w:sectPr>
          <w:footerReference r:id="rId14" w:type="default"/>
          <w:pgSz w:w="11906" w:h="16838"/>
          <w:pgMar w:top="1440" w:right="1083" w:bottom="1440" w:left="1083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</w:p>
    <w:p w14:paraId="61096915"/>
    <w:p w14:paraId="5988003E"/>
    <w:p w14:paraId="66E003E6"/>
    <w:p w14:paraId="59F763DE"/>
    <w:p w14:paraId="69489D98"/>
    <w:p w14:paraId="569BF67B"/>
    <w:p w14:paraId="0CACE1F8"/>
    <w:p w14:paraId="148C58A8"/>
    <w:p w14:paraId="2C16A925"/>
    <w:p w14:paraId="463DFBDF"/>
    <w:p w14:paraId="59D4AD64"/>
    <w:p w14:paraId="46460130"/>
    <w:p w14:paraId="221E4DE7"/>
    <w:p w14:paraId="60F28C6F"/>
    <w:p w14:paraId="3421DB58"/>
    <w:p w14:paraId="25CA13A0"/>
    <w:p w14:paraId="54A4F7A4"/>
    <w:p w14:paraId="68FDA5B3"/>
    <w:p w14:paraId="2CBE69F6"/>
    <w:p w14:paraId="59052417"/>
    <w:p w14:paraId="1F670E19"/>
    <w:p w14:paraId="62A02DCE"/>
    <w:p w14:paraId="2738478F"/>
    <w:p w14:paraId="4DF01DEE"/>
    <w:p w14:paraId="168F5E18"/>
    <w:p w14:paraId="7EF08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48"/>
          <w:szCs w:val="48"/>
        </w:rPr>
      </w:pPr>
      <w:r>
        <w:rPr>
          <w:rFonts w:hint="default" w:ascii="Times New Roman" w:hAnsi="Times New Roman" w:eastAsia="宋体" w:cs="Times New Roman"/>
          <w:sz w:val="48"/>
          <w:szCs w:val="48"/>
        </w:rPr>
        <w:t>山东恒美电子科技有限公司</w:t>
      </w:r>
    </w:p>
    <w:p w14:paraId="640B4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48"/>
          <w:szCs w:val="48"/>
        </w:rPr>
      </w:pPr>
      <w:r>
        <w:rPr>
          <w:rFonts w:hint="default" w:ascii="Times New Roman" w:hAnsi="Times New Roman" w:eastAsia="宋体" w:cs="Times New Roman"/>
          <w:bCs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4351655</wp:posOffset>
            </wp:positionH>
            <wp:positionV relativeFrom="paragraph">
              <wp:posOffset>408940</wp:posOffset>
            </wp:positionV>
            <wp:extent cx="837565" cy="837565"/>
            <wp:effectExtent l="0" t="0" r="635" b="635"/>
            <wp:wrapThrough wrapText="bothSides">
              <wp:wrapPolygon>
                <wp:start x="0" y="0"/>
                <wp:lineTo x="0" y="21125"/>
                <wp:lineTo x="21125" y="21125"/>
                <wp:lineTo x="21125" y="0"/>
                <wp:lineTo x="0" y="0"/>
              </wp:wrapPolygon>
            </wp:wrapThrough>
            <wp:docPr id="21" name="图片 21" descr="C:\Users\Administrator.DESKTOP-AFR3K3K\Desktop\网站.png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\Users\Administrator.DESKTOP-AFR3K3K\Desktop\网站.png网站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37565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宋体" w:cs="Times New Roman"/>
          <w:sz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5335905</wp:posOffset>
            </wp:positionH>
            <wp:positionV relativeFrom="paragraph">
              <wp:posOffset>384810</wp:posOffset>
            </wp:positionV>
            <wp:extent cx="883285" cy="883285"/>
            <wp:effectExtent l="0" t="0" r="12065" b="12065"/>
            <wp:wrapThrough wrapText="bothSides">
              <wp:wrapPolygon>
                <wp:start x="0" y="0"/>
                <wp:lineTo x="0" y="20963"/>
                <wp:lineTo x="20963" y="20963"/>
                <wp:lineTo x="20963" y="0"/>
                <wp:lineTo x="0" y="0"/>
              </wp:wrapPolygon>
            </wp:wrapThrough>
            <wp:docPr id="20" name="图片 20" descr="公众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公众号二维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883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446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联系电话：</w:t>
      </w:r>
      <w:r>
        <w:rPr>
          <w:rFonts w:ascii="Times New Roman" w:hAnsi="Times New Roman" w:eastAsia="Times New Roman" w:cs="Times New Roman"/>
          <w:sz w:val="24"/>
          <w:szCs w:val="24"/>
        </w:rPr>
        <w:t>19969953106</w:t>
      </w:r>
    </w:p>
    <w:p w14:paraId="223C9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公司邮箱：hengmeiyiqi@126.com</w:t>
      </w:r>
    </w:p>
    <w:p w14:paraId="46B61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公司地址：山东省潍坊市金马路一号欧龙科技园</w:t>
      </w:r>
    </w:p>
    <w:p w14:paraId="7B821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eastAsia" w:ascii="Times New Roman" w:hAnsi="Times New Roman" w:eastAsia="宋体" w:cs="Times New Roman"/>
          <w:bCs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公司网址：http://www.nycljc.com/contact/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                    </w:t>
      </w:r>
      <w:r>
        <w:rPr>
          <w:rFonts w:hint="default" w:ascii="Times New Roman" w:hAnsi="Times New Roman" w:eastAsia="宋体" w:cs="Times New Roman"/>
          <w:bCs/>
          <w:kern w:val="2"/>
          <w:sz w:val="24"/>
          <w:szCs w:val="21"/>
          <w:lang w:val="en-US" w:eastAsia="zh-CN" w:bidi="ar-SA"/>
        </w:rPr>
        <w:t>公司官网     微信公众号</w:t>
      </w:r>
    </w:p>
    <w:sectPr>
      <w:footerReference r:id="rId15" w:type="default"/>
      <w:pgSz w:w="11906" w:h="16838"/>
      <w:pgMar w:top="1440" w:right="1083" w:bottom="1440" w:left="1083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5E9E6">
    <w:pPr>
      <w:tabs>
        <w:tab w:val="center" w:pos="4153"/>
        <w:tab w:val="right" w:pos="8306"/>
      </w:tabs>
      <w:spacing w:after="48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37FF1">
    <w:pPr>
      <w:tabs>
        <w:tab w:val="center" w:pos="4153"/>
        <w:tab w:val="right" w:pos="8306"/>
      </w:tabs>
      <w:spacing w:after="4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186BC">
    <w:pPr>
      <w:tabs>
        <w:tab w:val="center" w:pos="4153"/>
        <w:tab w:val="right" w:pos="8306"/>
      </w:tabs>
      <w:spacing w:after="48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11E7C">
    <w:pPr>
      <w:tabs>
        <w:tab w:val="center" w:pos="4153"/>
        <w:tab w:val="right" w:pos="8306"/>
      </w:tabs>
      <w:ind w:left="0" w:leftChars="0"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A9611">
    <w:pPr>
      <w:tabs>
        <w:tab w:val="center" w:pos="4870"/>
        <w:tab w:val="right" w:pos="8306"/>
      </w:tabs>
      <w:ind w:left="0" w:leftChars="0" w:firstLine="0" w:firstLineChars="0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0DC6A7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0DC6A7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1C59F">
    <w:pPr>
      <w:tabs>
        <w:tab w:val="center" w:pos="4870"/>
        <w:tab w:val="right" w:pos="8306"/>
      </w:tabs>
      <w:ind w:left="0" w:leftChars="0" w:firstLine="0" w:firstLineChars="0"/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2F028C">
                          <w:pPr>
                            <w:pStyle w:val="16"/>
                            <w:ind w:left="0" w:leftChars="0" w:firstLine="0" w:firstLineChars="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2F028C">
                    <w:pPr>
                      <w:pStyle w:val="16"/>
                      <w:ind w:left="0" w:leftChars="0" w:firstLine="0" w:firstLineChars="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D1A05">
    <w:pPr>
      <w:tabs>
        <w:tab w:val="center" w:pos="4870"/>
        <w:tab w:val="right" w:pos="8306"/>
      </w:tabs>
      <w:ind w:left="0" w:leftChars="0" w:firstLine="0" w:firstLineChars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D4ADD">
    <w:pPr>
      <w:pBdr>
        <w:bottom w:val="none" w:color="auto" w:sz="0" w:space="1"/>
      </w:pBdr>
      <w:tabs>
        <w:tab w:val="center" w:pos="4153"/>
        <w:tab w:val="right" w:pos="8306"/>
      </w:tabs>
      <w:spacing w:after="4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489F7">
    <w:pPr>
      <w:tabs>
        <w:tab w:val="center" w:pos="4153"/>
        <w:tab w:val="right" w:pos="8306"/>
      </w:tabs>
      <w:spacing w:after="4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23015">
    <w:pPr>
      <w:tabs>
        <w:tab w:val="center" w:pos="4153"/>
        <w:tab w:val="right" w:pos="8306"/>
      </w:tabs>
      <w:spacing w:after="48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5E0B3">
    <w:pPr>
      <w:pBdr>
        <w:bottom w:val="none" w:color="auto" w:sz="0" w:space="0"/>
      </w:pBdr>
      <w:rPr>
        <w:rFonts w:hint="eastAsia" w:eastAsia="宋体"/>
        <w:sz w:val="18"/>
        <w:szCs w:val="18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DF518B"/>
    <w:multiLevelType w:val="singleLevel"/>
    <w:tmpl w:val="86DF518B"/>
    <w:lvl w:ilvl="0" w:tentative="0">
      <w:start w:val="1"/>
      <w:numFmt w:val="decimal"/>
      <w:suff w:val="space"/>
      <w:lvlText w:val="(%1)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BB9376A9"/>
    <w:multiLevelType w:val="singleLevel"/>
    <w:tmpl w:val="BB9376A9"/>
    <w:lvl w:ilvl="0" w:tentative="0">
      <w:start w:val="1"/>
      <w:numFmt w:val="decimal"/>
      <w:suff w:val="space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C1BAACA5"/>
    <w:multiLevelType w:val="multilevel"/>
    <w:tmpl w:val="C1BAACA5"/>
    <w:lvl w:ilvl="0" w:tentative="0">
      <w:start w:val="1"/>
      <w:numFmt w:val="decimal"/>
      <w:pStyle w:val="2"/>
      <w:suff w:val="space"/>
      <w:lvlText w:val="%1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pStyle w:val="4"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pStyle w:val="5"/>
      <w:suff w:val="space"/>
      <w:lvlText w:val="%1.%2.%3"/>
      <w:lvlJc w:val="left"/>
      <w:pPr>
        <w:tabs>
          <w:tab w:val="left" w:pos="420"/>
        </w:tabs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pStyle w:val="6"/>
      <w:suff w:val="space"/>
      <w:lvlText w:val="%1.%2.%3.%4"/>
      <w:lvlJc w:val="left"/>
      <w:pPr>
        <w:tabs>
          <w:tab w:val="left" w:pos="420"/>
        </w:tabs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pStyle w:val="7"/>
      <w:suff w:val="space"/>
      <w:lvlText w:val="%1.%2.%3.%4.%5"/>
      <w:lvlJc w:val="left"/>
      <w:pPr>
        <w:tabs>
          <w:tab w:val="left" w:pos="420"/>
        </w:tabs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pStyle w:val="8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9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10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1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3">
    <w:nsid w:val="DF3CB94B"/>
    <w:multiLevelType w:val="singleLevel"/>
    <w:tmpl w:val="DF3CB94B"/>
    <w:lvl w:ilvl="0" w:tentative="0">
      <w:start w:val="1"/>
      <w:numFmt w:val="decimal"/>
      <w:suff w:val="space"/>
      <w:lvlText w:val="(%1)"/>
      <w:lvlJc w:val="left"/>
      <w:pPr>
        <w:ind w:left="425" w:hanging="425"/>
      </w:pPr>
      <w:rPr>
        <w:rFonts w:hint="default"/>
      </w:rPr>
    </w:lvl>
  </w:abstractNum>
  <w:abstractNum w:abstractNumId="4">
    <w:nsid w:val="076435F5"/>
    <w:multiLevelType w:val="singleLevel"/>
    <w:tmpl w:val="076435F5"/>
    <w:lvl w:ilvl="0" w:tentative="0">
      <w:start w:val="1"/>
      <w:numFmt w:val="bullet"/>
      <w:suff w:val="nothing"/>
      <w:lvlText w:val=""/>
      <w:lvlJc w:val="left"/>
      <w:pPr>
        <w:ind w:left="840" w:hanging="420"/>
      </w:pPr>
      <w:rPr>
        <w:rFonts w:hint="default" w:ascii="Wingdings" w:hAnsi="Wingdings"/>
      </w:rPr>
    </w:lvl>
  </w:abstractNum>
  <w:abstractNum w:abstractNumId="5">
    <w:nsid w:val="5446B3F8"/>
    <w:multiLevelType w:val="singleLevel"/>
    <w:tmpl w:val="5446B3F8"/>
    <w:lvl w:ilvl="0" w:tentative="0">
      <w:start w:val="1"/>
      <w:numFmt w:val="bullet"/>
      <w:suff w:val="nothing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7F06123F"/>
    <w:multiLevelType w:val="singleLevel"/>
    <w:tmpl w:val="7F06123F"/>
    <w:lvl w:ilvl="0" w:tentative="0">
      <w:start w:val="1"/>
      <w:numFmt w:val="decimal"/>
      <w:suff w:val="space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5MjNlMTQxZTNmM2E2MWIyMDNjMDA2MjdjMmZjOGIifQ=="/>
  </w:docVars>
  <w:rsids>
    <w:rsidRoot w:val="00172A27"/>
    <w:rsid w:val="00000C25"/>
    <w:rsid w:val="00005D76"/>
    <w:rsid w:val="00007586"/>
    <w:rsid w:val="00011C3C"/>
    <w:rsid w:val="00027114"/>
    <w:rsid w:val="00030011"/>
    <w:rsid w:val="00031816"/>
    <w:rsid w:val="00035E16"/>
    <w:rsid w:val="0007258E"/>
    <w:rsid w:val="00082301"/>
    <w:rsid w:val="00096897"/>
    <w:rsid w:val="00097329"/>
    <w:rsid w:val="000A36D9"/>
    <w:rsid w:val="000A4867"/>
    <w:rsid w:val="000A7521"/>
    <w:rsid w:val="000B0291"/>
    <w:rsid w:val="000C2176"/>
    <w:rsid w:val="000D311A"/>
    <w:rsid w:val="000E11ED"/>
    <w:rsid w:val="000E3798"/>
    <w:rsid w:val="000F4B88"/>
    <w:rsid w:val="000F4F6F"/>
    <w:rsid w:val="000F7FB9"/>
    <w:rsid w:val="00106780"/>
    <w:rsid w:val="00111571"/>
    <w:rsid w:val="001261BD"/>
    <w:rsid w:val="00172A27"/>
    <w:rsid w:val="001A3943"/>
    <w:rsid w:val="001B0E34"/>
    <w:rsid w:val="001B2B27"/>
    <w:rsid w:val="001C4F19"/>
    <w:rsid w:val="001D3BF1"/>
    <w:rsid w:val="001E69D1"/>
    <w:rsid w:val="002059D7"/>
    <w:rsid w:val="0021284C"/>
    <w:rsid w:val="00213F9B"/>
    <w:rsid w:val="002167E3"/>
    <w:rsid w:val="002217D8"/>
    <w:rsid w:val="00226CE7"/>
    <w:rsid w:val="00232938"/>
    <w:rsid w:val="00232FAC"/>
    <w:rsid w:val="0023309E"/>
    <w:rsid w:val="00246569"/>
    <w:rsid w:val="00247FE3"/>
    <w:rsid w:val="00251404"/>
    <w:rsid w:val="002639FC"/>
    <w:rsid w:val="0027397A"/>
    <w:rsid w:val="002815A3"/>
    <w:rsid w:val="00282238"/>
    <w:rsid w:val="00284F30"/>
    <w:rsid w:val="002956F9"/>
    <w:rsid w:val="00296F5E"/>
    <w:rsid w:val="002B3586"/>
    <w:rsid w:val="002B760A"/>
    <w:rsid w:val="002C1CFF"/>
    <w:rsid w:val="002D6C21"/>
    <w:rsid w:val="002D6EDA"/>
    <w:rsid w:val="002E7F10"/>
    <w:rsid w:val="002F08B5"/>
    <w:rsid w:val="002F0DD4"/>
    <w:rsid w:val="002F7A53"/>
    <w:rsid w:val="00312011"/>
    <w:rsid w:val="00322DAF"/>
    <w:rsid w:val="00326005"/>
    <w:rsid w:val="00332A3B"/>
    <w:rsid w:val="0034296A"/>
    <w:rsid w:val="00355EFF"/>
    <w:rsid w:val="003563BA"/>
    <w:rsid w:val="003604AB"/>
    <w:rsid w:val="00361758"/>
    <w:rsid w:val="003674BB"/>
    <w:rsid w:val="00374B40"/>
    <w:rsid w:val="0037648D"/>
    <w:rsid w:val="00386027"/>
    <w:rsid w:val="00395937"/>
    <w:rsid w:val="003A1DF0"/>
    <w:rsid w:val="003A5687"/>
    <w:rsid w:val="003B108E"/>
    <w:rsid w:val="003B4A54"/>
    <w:rsid w:val="003B5492"/>
    <w:rsid w:val="003C354E"/>
    <w:rsid w:val="003C5760"/>
    <w:rsid w:val="003C6D54"/>
    <w:rsid w:val="003D2807"/>
    <w:rsid w:val="003E3762"/>
    <w:rsid w:val="003F3E33"/>
    <w:rsid w:val="00402605"/>
    <w:rsid w:val="00403844"/>
    <w:rsid w:val="004103BE"/>
    <w:rsid w:val="004122C8"/>
    <w:rsid w:val="004152AD"/>
    <w:rsid w:val="004201FE"/>
    <w:rsid w:val="00424C67"/>
    <w:rsid w:val="00425C82"/>
    <w:rsid w:val="00433C04"/>
    <w:rsid w:val="0043517E"/>
    <w:rsid w:val="00443FA4"/>
    <w:rsid w:val="0044438D"/>
    <w:rsid w:val="00456A43"/>
    <w:rsid w:val="00495470"/>
    <w:rsid w:val="004975EB"/>
    <w:rsid w:val="004A2F38"/>
    <w:rsid w:val="004B7DC9"/>
    <w:rsid w:val="004D3249"/>
    <w:rsid w:val="004D3EB8"/>
    <w:rsid w:val="004D7067"/>
    <w:rsid w:val="004E31F4"/>
    <w:rsid w:val="004E331B"/>
    <w:rsid w:val="004F1EE6"/>
    <w:rsid w:val="00504698"/>
    <w:rsid w:val="00504F3C"/>
    <w:rsid w:val="0051224C"/>
    <w:rsid w:val="00517835"/>
    <w:rsid w:val="0052027D"/>
    <w:rsid w:val="005256DC"/>
    <w:rsid w:val="005270D0"/>
    <w:rsid w:val="005373F7"/>
    <w:rsid w:val="005525F6"/>
    <w:rsid w:val="00553B4A"/>
    <w:rsid w:val="00564675"/>
    <w:rsid w:val="0056470F"/>
    <w:rsid w:val="00565EB2"/>
    <w:rsid w:val="00565F5D"/>
    <w:rsid w:val="005660E4"/>
    <w:rsid w:val="0058306A"/>
    <w:rsid w:val="00592698"/>
    <w:rsid w:val="005A1BF2"/>
    <w:rsid w:val="005A238F"/>
    <w:rsid w:val="005A54C0"/>
    <w:rsid w:val="005A5616"/>
    <w:rsid w:val="005C3FF4"/>
    <w:rsid w:val="005C44A0"/>
    <w:rsid w:val="005C4785"/>
    <w:rsid w:val="005C677A"/>
    <w:rsid w:val="005D0E50"/>
    <w:rsid w:val="005D1F15"/>
    <w:rsid w:val="005F07E2"/>
    <w:rsid w:val="00603E3B"/>
    <w:rsid w:val="00607242"/>
    <w:rsid w:val="00607708"/>
    <w:rsid w:val="00616BC0"/>
    <w:rsid w:val="00631DC5"/>
    <w:rsid w:val="00634D42"/>
    <w:rsid w:val="00641C57"/>
    <w:rsid w:val="00655919"/>
    <w:rsid w:val="00655D9B"/>
    <w:rsid w:val="00662B44"/>
    <w:rsid w:val="006635D5"/>
    <w:rsid w:val="00665618"/>
    <w:rsid w:val="006741F7"/>
    <w:rsid w:val="00674671"/>
    <w:rsid w:val="00681384"/>
    <w:rsid w:val="00695A1E"/>
    <w:rsid w:val="006B20C8"/>
    <w:rsid w:val="006B63A3"/>
    <w:rsid w:val="006C2EEF"/>
    <w:rsid w:val="006D36CB"/>
    <w:rsid w:val="006D4483"/>
    <w:rsid w:val="006D4593"/>
    <w:rsid w:val="006F1C61"/>
    <w:rsid w:val="006F4C53"/>
    <w:rsid w:val="006F5C0B"/>
    <w:rsid w:val="00702470"/>
    <w:rsid w:val="00702817"/>
    <w:rsid w:val="00705C38"/>
    <w:rsid w:val="00706E12"/>
    <w:rsid w:val="007130C5"/>
    <w:rsid w:val="00726003"/>
    <w:rsid w:val="00734A7A"/>
    <w:rsid w:val="00747AC2"/>
    <w:rsid w:val="00752583"/>
    <w:rsid w:val="0076275A"/>
    <w:rsid w:val="00766642"/>
    <w:rsid w:val="0077276E"/>
    <w:rsid w:val="00781972"/>
    <w:rsid w:val="007838FB"/>
    <w:rsid w:val="007917B0"/>
    <w:rsid w:val="00794332"/>
    <w:rsid w:val="007A5E92"/>
    <w:rsid w:val="007A738B"/>
    <w:rsid w:val="007B0C3D"/>
    <w:rsid w:val="007C1038"/>
    <w:rsid w:val="007C667D"/>
    <w:rsid w:val="007D0793"/>
    <w:rsid w:val="007D2B8E"/>
    <w:rsid w:val="007D4DDD"/>
    <w:rsid w:val="007E0D3A"/>
    <w:rsid w:val="00824005"/>
    <w:rsid w:val="008240D6"/>
    <w:rsid w:val="00824518"/>
    <w:rsid w:val="00824DDB"/>
    <w:rsid w:val="00826639"/>
    <w:rsid w:val="00830589"/>
    <w:rsid w:val="00845FE3"/>
    <w:rsid w:val="008574C6"/>
    <w:rsid w:val="00857E3B"/>
    <w:rsid w:val="00862E84"/>
    <w:rsid w:val="00876B3E"/>
    <w:rsid w:val="008877F6"/>
    <w:rsid w:val="00891641"/>
    <w:rsid w:val="008950FD"/>
    <w:rsid w:val="008A2F00"/>
    <w:rsid w:val="008A6627"/>
    <w:rsid w:val="008B27F4"/>
    <w:rsid w:val="008B3FF2"/>
    <w:rsid w:val="008C44FA"/>
    <w:rsid w:val="008D53DC"/>
    <w:rsid w:val="008E1351"/>
    <w:rsid w:val="008F7584"/>
    <w:rsid w:val="00903167"/>
    <w:rsid w:val="00905BB0"/>
    <w:rsid w:val="009147A0"/>
    <w:rsid w:val="009156E6"/>
    <w:rsid w:val="00917F43"/>
    <w:rsid w:val="00926698"/>
    <w:rsid w:val="00931F3B"/>
    <w:rsid w:val="0093697F"/>
    <w:rsid w:val="009424A3"/>
    <w:rsid w:val="00942C52"/>
    <w:rsid w:val="009434F8"/>
    <w:rsid w:val="00944DFC"/>
    <w:rsid w:val="00952A73"/>
    <w:rsid w:val="00954C9C"/>
    <w:rsid w:val="00962503"/>
    <w:rsid w:val="00967D62"/>
    <w:rsid w:val="009720A4"/>
    <w:rsid w:val="00973542"/>
    <w:rsid w:val="009748D2"/>
    <w:rsid w:val="00977D51"/>
    <w:rsid w:val="00992D40"/>
    <w:rsid w:val="00993F55"/>
    <w:rsid w:val="009967A8"/>
    <w:rsid w:val="00996986"/>
    <w:rsid w:val="009A153F"/>
    <w:rsid w:val="009A1A47"/>
    <w:rsid w:val="009A5003"/>
    <w:rsid w:val="009B3B26"/>
    <w:rsid w:val="009B5DCE"/>
    <w:rsid w:val="009C492F"/>
    <w:rsid w:val="009C6186"/>
    <w:rsid w:val="009E1D2A"/>
    <w:rsid w:val="009E5FE4"/>
    <w:rsid w:val="009F06F9"/>
    <w:rsid w:val="009F79C6"/>
    <w:rsid w:val="00A17664"/>
    <w:rsid w:val="00A17FDC"/>
    <w:rsid w:val="00A24150"/>
    <w:rsid w:val="00A31F3C"/>
    <w:rsid w:val="00A32A64"/>
    <w:rsid w:val="00A3472E"/>
    <w:rsid w:val="00A45BC2"/>
    <w:rsid w:val="00A603B9"/>
    <w:rsid w:val="00A701F5"/>
    <w:rsid w:val="00A9282B"/>
    <w:rsid w:val="00AA1AAF"/>
    <w:rsid w:val="00AA23B0"/>
    <w:rsid w:val="00AA2572"/>
    <w:rsid w:val="00AB2B9F"/>
    <w:rsid w:val="00AC2659"/>
    <w:rsid w:val="00AD3A98"/>
    <w:rsid w:val="00AE0A12"/>
    <w:rsid w:val="00AF6347"/>
    <w:rsid w:val="00B03746"/>
    <w:rsid w:val="00B1121B"/>
    <w:rsid w:val="00B20844"/>
    <w:rsid w:val="00B24816"/>
    <w:rsid w:val="00B24A81"/>
    <w:rsid w:val="00B24C3F"/>
    <w:rsid w:val="00B60A2C"/>
    <w:rsid w:val="00B621C8"/>
    <w:rsid w:val="00B769FD"/>
    <w:rsid w:val="00B81622"/>
    <w:rsid w:val="00B95594"/>
    <w:rsid w:val="00BA4014"/>
    <w:rsid w:val="00BA561B"/>
    <w:rsid w:val="00BD4073"/>
    <w:rsid w:val="00BE3249"/>
    <w:rsid w:val="00C004E7"/>
    <w:rsid w:val="00C05691"/>
    <w:rsid w:val="00C07C97"/>
    <w:rsid w:val="00C16022"/>
    <w:rsid w:val="00C16870"/>
    <w:rsid w:val="00C20E93"/>
    <w:rsid w:val="00C25C4D"/>
    <w:rsid w:val="00C36593"/>
    <w:rsid w:val="00C36660"/>
    <w:rsid w:val="00C461ED"/>
    <w:rsid w:val="00C57801"/>
    <w:rsid w:val="00C620A9"/>
    <w:rsid w:val="00C677FA"/>
    <w:rsid w:val="00C76E90"/>
    <w:rsid w:val="00C91D27"/>
    <w:rsid w:val="00C93B46"/>
    <w:rsid w:val="00CB2945"/>
    <w:rsid w:val="00CC5877"/>
    <w:rsid w:val="00CD26DA"/>
    <w:rsid w:val="00CF3C3C"/>
    <w:rsid w:val="00D03A73"/>
    <w:rsid w:val="00D13925"/>
    <w:rsid w:val="00D14035"/>
    <w:rsid w:val="00D14D01"/>
    <w:rsid w:val="00D214BB"/>
    <w:rsid w:val="00D3004F"/>
    <w:rsid w:val="00D30FC0"/>
    <w:rsid w:val="00D402C2"/>
    <w:rsid w:val="00D46E7F"/>
    <w:rsid w:val="00D63412"/>
    <w:rsid w:val="00D67285"/>
    <w:rsid w:val="00D80745"/>
    <w:rsid w:val="00D82A36"/>
    <w:rsid w:val="00D82D0D"/>
    <w:rsid w:val="00D86857"/>
    <w:rsid w:val="00D93E52"/>
    <w:rsid w:val="00DC1266"/>
    <w:rsid w:val="00DC2995"/>
    <w:rsid w:val="00DC4744"/>
    <w:rsid w:val="00DD6671"/>
    <w:rsid w:val="00DE0F3B"/>
    <w:rsid w:val="00DE340F"/>
    <w:rsid w:val="00DE44F0"/>
    <w:rsid w:val="00E02740"/>
    <w:rsid w:val="00E0738B"/>
    <w:rsid w:val="00E13193"/>
    <w:rsid w:val="00E25618"/>
    <w:rsid w:val="00E30C65"/>
    <w:rsid w:val="00E315C1"/>
    <w:rsid w:val="00E4010F"/>
    <w:rsid w:val="00E41AFF"/>
    <w:rsid w:val="00E45CDD"/>
    <w:rsid w:val="00E54035"/>
    <w:rsid w:val="00E557EA"/>
    <w:rsid w:val="00E5755A"/>
    <w:rsid w:val="00E57E50"/>
    <w:rsid w:val="00E62EB3"/>
    <w:rsid w:val="00E67A69"/>
    <w:rsid w:val="00E72CCC"/>
    <w:rsid w:val="00E73540"/>
    <w:rsid w:val="00E80427"/>
    <w:rsid w:val="00E82144"/>
    <w:rsid w:val="00E8244C"/>
    <w:rsid w:val="00E85360"/>
    <w:rsid w:val="00EA667B"/>
    <w:rsid w:val="00EC21E0"/>
    <w:rsid w:val="00EC6BDC"/>
    <w:rsid w:val="00ED2561"/>
    <w:rsid w:val="00EF1597"/>
    <w:rsid w:val="00EF24E6"/>
    <w:rsid w:val="00EF36F2"/>
    <w:rsid w:val="00F01AAA"/>
    <w:rsid w:val="00F02DDA"/>
    <w:rsid w:val="00F05671"/>
    <w:rsid w:val="00F06C06"/>
    <w:rsid w:val="00F10BBB"/>
    <w:rsid w:val="00F1546F"/>
    <w:rsid w:val="00F23A90"/>
    <w:rsid w:val="00F37FAF"/>
    <w:rsid w:val="00F46AA9"/>
    <w:rsid w:val="00F564B4"/>
    <w:rsid w:val="00F60168"/>
    <w:rsid w:val="00F64EB9"/>
    <w:rsid w:val="00F82F5B"/>
    <w:rsid w:val="00F831BB"/>
    <w:rsid w:val="00F844E6"/>
    <w:rsid w:val="00F96001"/>
    <w:rsid w:val="00FA5874"/>
    <w:rsid w:val="00FA6CC0"/>
    <w:rsid w:val="00FB0074"/>
    <w:rsid w:val="00FC6D6A"/>
    <w:rsid w:val="00FE2E27"/>
    <w:rsid w:val="010A6C51"/>
    <w:rsid w:val="01195F82"/>
    <w:rsid w:val="015C5B97"/>
    <w:rsid w:val="01AC266F"/>
    <w:rsid w:val="01BE04C2"/>
    <w:rsid w:val="02417F24"/>
    <w:rsid w:val="025A60F6"/>
    <w:rsid w:val="0310793B"/>
    <w:rsid w:val="0317424D"/>
    <w:rsid w:val="034B14BD"/>
    <w:rsid w:val="039D5612"/>
    <w:rsid w:val="039E03BC"/>
    <w:rsid w:val="03F34B36"/>
    <w:rsid w:val="04667661"/>
    <w:rsid w:val="04720FFC"/>
    <w:rsid w:val="04857BBD"/>
    <w:rsid w:val="05992DAE"/>
    <w:rsid w:val="05E63649"/>
    <w:rsid w:val="05FF2210"/>
    <w:rsid w:val="062B48C9"/>
    <w:rsid w:val="06714D29"/>
    <w:rsid w:val="068D5659"/>
    <w:rsid w:val="06AC2760"/>
    <w:rsid w:val="06B05043"/>
    <w:rsid w:val="06BE0B5D"/>
    <w:rsid w:val="06F90616"/>
    <w:rsid w:val="0743736B"/>
    <w:rsid w:val="07C61803"/>
    <w:rsid w:val="08524F68"/>
    <w:rsid w:val="0866138F"/>
    <w:rsid w:val="08975D1C"/>
    <w:rsid w:val="08A0057B"/>
    <w:rsid w:val="08C61DC7"/>
    <w:rsid w:val="095266D6"/>
    <w:rsid w:val="09AF3395"/>
    <w:rsid w:val="0A095248"/>
    <w:rsid w:val="0A300E42"/>
    <w:rsid w:val="0A7A7F9C"/>
    <w:rsid w:val="0ABA0FF1"/>
    <w:rsid w:val="0ABF031F"/>
    <w:rsid w:val="0B4A4E98"/>
    <w:rsid w:val="0BB935E2"/>
    <w:rsid w:val="0C080C51"/>
    <w:rsid w:val="0C485E1B"/>
    <w:rsid w:val="0C832E97"/>
    <w:rsid w:val="0C995C44"/>
    <w:rsid w:val="0CFF3561"/>
    <w:rsid w:val="0D3E3653"/>
    <w:rsid w:val="0D717500"/>
    <w:rsid w:val="0D9121A0"/>
    <w:rsid w:val="0E207165"/>
    <w:rsid w:val="0E6322B4"/>
    <w:rsid w:val="0EA638E8"/>
    <w:rsid w:val="0EE81CEA"/>
    <w:rsid w:val="0F700798"/>
    <w:rsid w:val="0F9729F1"/>
    <w:rsid w:val="0FE81946"/>
    <w:rsid w:val="0FE84279"/>
    <w:rsid w:val="100F3EF2"/>
    <w:rsid w:val="10227FFC"/>
    <w:rsid w:val="102845EC"/>
    <w:rsid w:val="103050E9"/>
    <w:rsid w:val="10FD6AC9"/>
    <w:rsid w:val="1101119E"/>
    <w:rsid w:val="1178088B"/>
    <w:rsid w:val="117F43ED"/>
    <w:rsid w:val="11890150"/>
    <w:rsid w:val="11E8454E"/>
    <w:rsid w:val="11F85AB7"/>
    <w:rsid w:val="12135A81"/>
    <w:rsid w:val="123A5959"/>
    <w:rsid w:val="124925E6"/>
    <w:rsid w:val="12810748"/>
    <w:rsid w:val="12CF0BBA"/>
    <w:rsid w:val="131B53F6"/>
    <w:rsid w:val="13424E17"/>
    <w:rsid w:val="1345164F"/>
    <w:rsid w:val="135D5036"/>
    <w:rsid w:val="13A431AA"/>
    <w:rsid w:val="13BA046D"/>
    <w:rsid w:val="13DA14A0"/>
    <w:rsid w:val="13F27639"/>
    <w:rsid w:val="146E2F28"/>
    <w:rsid w:val="14963C2F"/>
    <w:rsid w:val="14A22DCA"/>
    <w:rsid w:val="153B0531"/>
    <w:rsid w:val="153E2789"/>
    <w:rsid w:val="15585544"/>
    <w:rsid w:val="15FD08E8"/>
    <w:rsid w:val="166E1054"/>
    <w:rsid w:val="16FA3EB9"/>
    <w:rsid w:val="173B1A91"/>
    <w:rsid w:val="1762661B"/>
    <w:rsid w:val="17B30CD1"/>
    <w:rsid w:val="18294825"/>
    <w:rsid w:val="187E5384"/>
    <w:rsid w:val="18916760"/>
    <w:rsid w:val="194E0E0D"/>
    <w:rsid w:val="195C5090"/>
    <w:rsid w:val="196F4AF5"/>
    <w:rsid w:val="19873761"/>
    <w:rsid w:val="19BE38E4"/>
    <w:rsid w:val="19D33982"/>
    <w:rsid w:val="1A042F2D"/>
    <w:rsid w:val="1A0F2197"/>
    <w:rsid w:val="1A104F47"/>
    <w:rsid w:val="1A173AA4"/>
    <w:rsid w:val="1AC32C1C"/>
    <w:rsid w:val="1B0C765A"/>
    <w:rsid w:val="1B0F24A9"/>
    <w:rsid w:val="1B34625A"/>
    <w:rsid w:val="1B35786B"/>
    <w:rsid w:val="1B51008F"/>
    <w:rsid w:val="1B5E72D0"/>
    <w:rsid w:val="1BE10E9F"/>
    <w:rsid w:val="1C2148E3"/>
    <w:rsid w:val="1C2648CD"/>
    <w:rsid w:val="1C393755"/>
    <w:rsid w:val="1C656E40"/>
    <w:rsid w:val="1CBF32BE"/>
    <w:rsid w:val="1CFB0B59"/>
    <w:rsid w:val="1D1C099B"/>
    <w:rsid w:val="1D274241"/>
    <w:rsid w:val="1D3D41F3"/>
    <w:rsid w:val="1D692133"/>
    <w:rsid w:val="1DE90194"/>
    <w:rsid w:val="1E366D3D"/>
    <w:rsid w:val="1E45374A"/>
    <w:rsid w:val="1E4D4BE2"/>
    <w:rsid w:val="1E585759"/>
    <w:rsid w:val="1EF87F56"/>
    <w:rsid w:val="1F1B3472"/>
    <w:rsid w:val="1F3A1EAD"/>
    <w:rsid w:val="1F597DE7"/>
    <w:rsid w:val="1F750221"/>
    <w:rsid w:val="1FBB2061"/>
    <w:rsid w:val="200F3475"/>
    <w:rsid w:val="205F7786"/>
    <w:rsid w:val="208E3BD5"/>
    <w:rsid w:val="20A7592A"/>
    <w:rsid w:val="20BB01E4"/>
    <w:rsid w:val="20E54E62"/>
    <w:rsid w:val="211533A0"/>
    <w:rsid w:val="2137633D"/>
    <w:rsid w:val="21651D9D"/>
    <w:rsid w:val="21AC56BD"/>
    <w:rsid w:val="21FB245A"/>
    <w:rsid w:val="220B6872"/>
    <w:rsid w:val="22164F0B"/>
    <w:rsid w:val="229E5BF4"/>
    <w:rsid w:val="235C7F8E"/>
    <w:rsid w:val="235D63E7"/>
    <w:rsid w:val="235F2F59"/>
    <w:rsid w:val="239727DF"/>
    <w:rsid w:val="245E1CC2"/>
    <w:rsid w:val="250B449F"/>
    <w:rsid w:val="259E0E3F"/>
    <w:rsid w:val="25ED561D"/>
    <w:rsid w:val="260E4819"/>
    <w:rsid w:val="2661729C"/>
    <w:rsid w:val="267B25A2"/>
    <w:rsid w:val="26AC0156"/>
    <w:rsid w:val="26BB1DE2"/>
    <w:rsid w:val="270B0FE7"/>
    <w:rsid w:val="273E00E6"/>
    <w:rsid w:val="274C4F22"/>
    <w:rsid w:val="27BA2BF7"/>
    <w:rsid w:val="27E80441"/>
    <w:rsid w:val="2893439A"/>
    <w:rsid w:val="28BB33D9"/>
    <w:rsid w:val="28E42507"/>
    <w:rsid w:val="290500BE"/>
    <w:rsid w:val="29470129"/>
    <w:rsid w:val="297E5870"/>
    <w:rsid w:val="298B7F41"/>
    <w:rsid w:val="29EB3E03"/>
    <w:rsid w:val="2ABC11BF"/>
    <w:rsid w:val="2AC97F0C"/>
    <w:rsid w:val="2AEF3293"/>
    <w:rsid w:val="2B0716A6"/>
    <w:rsid w:val="2B2C4C56"/>
    <w:rsid w:val="2B7A1118"/>
    <w:rsid w:val="2BCF39DB"/>
    <w:rsid w:val="2BD437A4"/>
    <w:rsid w:val="2C214605"/>
    <w:rsid w:val="2C4464F3"/>
    <w:rsid w:val="2CB866B2"/>
    <w:rsid w:val="2CC82000"/>
    <w:rsid w:val="2CDC58E6"/>
    <w:rsid w:val="2CFD39E1"/>
    <w:rsid w:val="2D2E4397"/>
    <w:rsid w:val="2D540F59"/>
    <w:rsid w:val="2D700A3D"/>
    <w:rsid w:val="2D7738BA"/>
    <w:rsid w:val="2DB70663"/>
    <w:rsid w:val="2DC9402C"/>
    <w:rsid w:val="2DD97853"/>
    <w:rsid w:val="2E1464CA"/>
    <w:rsid w:val="2E224116"/>
    <w:rsid w:val="2E890A13"/>
    <w:rsid w:val="2EB47742"/>
    <w:rsid w:val="2EE2332F"/>
    <w:rsid w:val="2EEF40D6"/>
    <w:rsid w:val="2FC6524D"/>
    <w:rsid w:val="2FD74668"/>
    <w:rsid w:val="2FD8495B"/>
    <w:rsid w:val="30067C45"/>
    <w:rsid w:val="30214E98"/>
    <w:rsid w:val="30687A6A"/>
    <w:rsid w:val="30746F42"/>
    <w:rsid w:val="30785198"/>
    <w:rsid w:val="30B017AF"/>
    <w:rsid w:val="30CC7002"/>
    <w:rsid w:val="30F40838"/>
    <w:rsid w:val="312914DD"/>
    <w:rsid w:val="313B204E"/>
    <w:rsid w:val="319877EC"/>
    <w:rsid w:val="31C514BC"/>
    <w:rsid w:val="31CB40C3"/>
    <w:rsid w:val="323314E1"/>
    <w:rsid w:val="327622B4"/>
    <w:rsid w:val="32784856"/>
    <w:rsid w:val="329045E7"/>
    <w:rsid w:val="32D51476"/>
    <w:rsid w:val="32EB3B6C"/>
    <w:rsid w:val="32F82DB6"/>
    <w:rsid w:val="335E2198"/>
    <w:rsid w:val="3392321C"/>
    <w:rsid w:val="33B93765"/>
    <w:rsid w:val="33DF273C"/>
    <w:rsid w:val="33E05516"/>
    <w:rsid w:val="33EC78D5"/>
    <w:rsid w:val="34202887"/>
    <w:rsid w:val="34A117D4"/>
    <w:rsid w:val="34D17758"/>
    <w:rsid w:val="3528356B"/>
    <w:rsid w:val="35400AD8"/>
    <w:rsid w:val="354313EC"/>
    <w:rsid w:val="35524A8C"/>
    <w:rsid w:val="35943715"/>
    <w:rsid w:val="360501BF"/>
    <w:rsid w:val="36162F7E"/>
    <w:rsid w:val="366C62D9"/>
    <w:rsid w:val="3673038D"/>
    <w:rsid w:val="367D2301"/>
    <w:rsid w:val="367F60E4"/>
    <w:rsid w:val="36916C00"/>
    <w:rsid w:val="36B9568D"/>
    <w:rsid w:val="36D438CA"/>
    <w:rsid w:val="36FF3EDD"/>
    <w:rsid w:val="3747058A"/>
    <w:rsid w:val="377B13AA"/>
    <w:rsid w:val="37835EE3"/>
    <w:rsid w:val="378D2F84"/>
    <w:rsid w:val="37943FDC"/>
    <w:rsid w:val="38734681"/>
    <w:rsid w:val="38A60C53"/>
    <w:rsid w:val="38D70B91"/>
    <w:rsid w:val="38E904C8"/>
    <w:rsid w:val="39050D33"/>
    <w:rsid w:val="3937078D"/>
    <w:rsid w:val="3978518A"/>
    <w:rsid w:val="39973DB8"/>
    <w:rsid w:val="39AF47D1"/>
    <w:rsid w:val="3A111A38"/>
    <w:rsid w:val="3A336D29"/>
    <w:rsid w:val="3A997FC3"/>
    <w:rsid w:val="3AA42382"/>
    <w:rsid w:val="3ACC6D9C"/>
    <w:rsid w:val="3B29374B"/>
    <w:rsid w:val="3B320F21"/>
    <w:rsid w:val="3B725100"/>
    <w:rsid w:val="3B7B2986"/>
    <w:rsid w:val="3B935269"/>
    <w:rsid w:val="3BAC1F24"/>
    <w:rsid w:val="3BBC72D5"/>
    <w:rsid w:val="3BCB448F"/>
    <w:rsid w:val="3BDC0834"/>
    <w:rsid w:val="3BE77CC9"/>
    <w:rsid w:val="3C22229B"/>
    <w:rsid w:val="3C280CAF"/>
    <w:rsid w:val="3C405A2A"/>
    <w:rsid w:val="3CDA11AD"/>
    <w:rsid w:val="3CE16524"/>
    <w:rsid w:val="3D340056"/>
    <w:rsid w:val="3DA87F1C"/>
    <w:rsid w:val="3E0A0BE8"/>
    <w:rsid w:val="3E38081B"/>
    <w:rsid w:val="3E5248E6"/>
    <w:rsid w:val="3ED10984"/>
    <w:rsid w:val="3ED40B04"/>
    <w:rsid w:val="3ED55AA8"/>
    <w:rsid w:val="3F5F0FDC"/>
    <w:rsid w:val="3F5F6EAF"/>
    <w:rsid w:val="3FC45AAA"/>
    <w:rsid w:val="3FF15334"/>
    <w:rsid w:val="40035FC8"/>
    <w:rsid w:val="4024130B"/>
    <w:rsid w:val="403B23C0"/>
    <w:rsid w:val="4185339B"/>
    <w:rsid w:val="419835B5"/>
    <w:rsid w:val="41995309"/>
    <w:rsid w:val="41E557AE"/>
    <w:rsid w:val="42310D00"/>
    <w:rsid w:val="428B0387"/>
    <w:rsid w:val="42C272B8"/>
    <w:rsid w:val="42CA2EEC"/>
    <w:rsid w:val="42E34521"/>
    <w:rsid w:val="42FB491A"/>
    <w:rsid w:val="43156A13"/>
    <w:rsid w:val="43337504"/>
    <w:rsid w:val="43761378"/>
    <w:rsid w:val="43912257"/>
    <w:rsid w:val="43CD0725"/>
    <w:rsid w:val="43D108E2"/>
    <w:rsid w:val="43F00A47"/>
    <w:rsid w:val="43FE6F56"/>
    <w:rsid w:val="44006A69"/>
    <w:rsid w:val="4406193F"/>
    <w:rsid w:val="44261A80"/>
    <w:rsid w:val="44611917"/>
    <w:rsid w:val="44723454"/>
    <w:rsid w:val="44E90998"/>
    <w:rsid w:val="45D632FD"/>
    <w:rsid w:val="461F3F60"/>
    <w:rsid w:val="46534F88"/>
    <w:rsid w:val="465E3885"/>
    <w:rsid w:val="46B37A6A"/>
    <w:rsid w:val="47532CE8"/>
    <w:rsid w:val="47570DCA"/>
    <w:rsid w:val="479205B3"/>
    <w:rsid w:val="47C33667"/>
    <w:rsid w:val="483A28C5"/>
    <w:rsid w:val="48654F62"/>
    <w:rsid w:val="486C2189"/>
    <w:rsid w:val="48701730"/>
    <w:rsid w:val="490F0A5D"/>
    <w:rsid w:val="492D6618"/>
    <w:rsid w:val="493142E9"/>
    <w:rsid w:val="493615CA"/>
    <w:rsid w:val="495604E0"/>
    <w:rsid w:val="498423E8"/>
    <w:rsid w:val="49A8587F"/>
    <w:rsid w:val="49FE1253"/>
    <w:rsid w:val="4A2413FF"/>
    <w:rsid w:val="4A3B19A4"/>
    <w:rsid w:val="4AAD524A"/>
    <w:rsid w:val="4B750F48"/>
    <w:rsid w:val="4B8630FF"/>
    <w:rsid w:val="4C0B599B"/>
    <w:rsid w:val="4C45208E"/>
    <w:rsid w:val="4C6860F5"/>
    <w:rsid w:val="4C6E1B22"/>
    <w:rsid w:val="4C79462F"/>
    <w:rsid w:val="4C7E3E1C"/>
    <w:rsid w:val="4CCD4B13"/>
    <w:rsid w:val="4CD95699"/>
    <w:rsid w:val="4D2878E8"/>
    <w:rsid w:val="4DA02512"/>
    <w:rsid w:val="4DC5759B"/>
    <w:rsid w:val="4DD5529B"/>
    <w:rsid w:val="4DE42DF7"/>
    <w:rsid w:val="4E0F5C06"/>
    <w:rsid w:val="4E206F9E"/>
    <w:rsid w:val="4E53787A"/>
    <w:rsid w:val="4F267C31"/>
    <w:rsid w:val="4F4C7C16"/>
    <w:rsid w:val="4F570049"/>
    <w:rsid w:val="4FFB5AEB"/>
    <w:rsid w:val="5014117B"/>
    <w:rsid w:val="50151DA6"/>
    <w:rsid w:val="50644C72"/>
    <w:rsid w:val="508E2255"/>
    <w:rsid w:val="509443A7"/>
    <w:rsid w:val="50DB5AA5"/>
    <w:rsid w:val="51A050C0"/>
    <w:rsid w:val="51AA7684"/>
    <w:rsid w:val="52044C84"/>
    <w:rsid w:val="52A729EA"/>
    <w:rsid w:val="52C80EC7"/>
    <w:rsid w:val="52F174CC"/>
    <w:rsid w:val="530C0AD8"/>
    <w:rsid w:val="534613CE"/>
    <w:rsid w:val="5356494C"/>
    <w:rsid w:val="53594196"/>
    <w:rsid w:val="53722F02"/>
    <w:rsid w:val="53912C74"/>
    <w:rsid w:val="53DA0D97"/>
    <w:rsid w:val="53DF4560"/>
    <w:rsid w:val="53E62C2D"/>
    <w:rsid w:val="53F320C2"/>
    <w:rsid w:val="541277A7"/>
    <w:rsid w:val="542A2733"/>
    <w:rsid w:val="542E18C6"/>
    <w:rsid w:val="546007FA"/>
    <w:rsid w:val="549913F6"/>
    <w:rsid w:val="549A6166"/>
    <w:rsid w:val="54AC7BC2"/>
    <w:rsid w:val="554D5EA4"/>
    <w:rsid w:val="55705D99"/>
    <w:rsid w:val="55BE796F"/>
    <w:rsid w:val="55E15AEE"/>
    <w:rsid w:val="5605724B"/>
    <w:rsid w:val="56685E98"/>
    <w:rsid w:val="56893656"/>
    <w:rsid w:val="571A46E4"/>
    <w:rsid w:val="57396514"/>
    <w:rsid w:val="57952240"/>
    <w:rsid w:val="57A62056"/>
    <w:rsid w:val="57FF20CA"/>
    <w:rsid w:val="58AB593C"/>
    <w:rsid w:val="59863C41"/>
    <w:rsid w:val="5998360F"/>
    <w:rsid w:val="59E15AA6"/>
    <w:rsid w:val="5A26206D"/>
    <w:rsid w:val="5A2F7635"/>
    <w:rsid w:val="5A472A04"/>
    <w:rsid w:val="5A4E72B5"/>
    <w:rsid w:val="5A582AB4"/>
    <w:rsid w:val="5A674767"/>
    <w:rsid w:val="5AF04865"/>
    <w:rsid w:val="5C250EB1"/>
    <w:rsid w:val="5CAD729A"/>
    <w:rsid w:val="5CB570E2"/>
    <w:rsid w:val="5CC7212A"/>
    <w:rsid w:val="5CD416FC"/>
    <w:rsid w:val="5D345859"/>
    <w:rsid w:val="5D4338E9"/>
    <w:rsid w:val="5D5C5AE5"/>
    <w:rsid w:val="5D7211FC"/>
    <w:rsid w:val="5DB5482B"/>
    <w:rsid w:val="5DE462F2"/>
    <w:rsid w:val="5E3504DC"/>
    <w:rsid w:val="5E3F104B"/>
    <w:rsid w:val="5E665C54"/>
    <w:rsid w:val="5E6824DD"/>
    <w:rsid w:val="5EA42CDE"/>
    <w:rsid w:val="5EAF46A0"/>
    <w:rsid w:val="5EEF72DA"/>
    <w:rsid w:val="5F3D305E"/>
    <w:rsid w:val="5FAB72C8"/>
    <w:rsid w:val="5FCC2443"/>
    <w:rsid w:val="6037780E"/>
    <w:rsid w:val="608C59D5"/>
    <w:rsid w:val="60D67964"/>
    <w:rsid w:val="60E312CA"/>
    <w:rsid w:val="60EF67D5"/>
    <w:rsid w:val="60F148A5"/>
    <w:rsid w:val="610D685C"/>
    <w:rsid w:val="61B31410"/>
    <w:rsid w:val="61DE53F1"/>
    <w:rsid w:val="620317F3"/>
    <w:rsid w:val="62271825"/>
    <w:rsid w:val="62744814"/>
    <w:rsid w:val="62AC5805"/>
    <w:rsid w:val="62CD7813"/>
    <w:rsid w:val="62D34B9D"/>
    <w:rsid w:val="631D6F91"/>
    <w:rsid w:val="63422A85"/>
    <w:rsid w:val="635848E8"/>
    <w:rsid w:val="6358771D"/>
    <w:rsid w:val="63952E1D"/>
    <w:rsid w:val="63A004E7"/>
    <w:rsid w:val="63B46F43"/>
    <w:rsid w:val="63C24000"/>
    <w:rsid w:val="63E119C6"/>
    <w:rsid w:val="63EB789E"/>
    <w:rsid w:val="63FB5BD9"/>
    <w:rsid w:val="641B7689"/>
    <w:rsid w:val="643F3AD5"/>
    <w:rsid w:val="64ED1CDE"/>
    <w:rsid w:val="65130257"/>
    <w:rsid w:val="652F2088"/>
    <w:rsid w:val="653A05F7"/>
    <w:rsid w:val="65A838DF"/>
    <w:rsid w:val="65D67C03"/>
    <w:rsid w:val="65E834AC"/>
    <w:rsid w:val="660D22CF"/>
    <w:rsid w:val="664C6448"/>
    <w:rsid w:val="66830848"/>
    <w:rsid w:val="671329FB"/>
    <w:rsid w:val="673D551B"/>
    <w:rsid w:val="67A47719"/>
    <w:rsid w:val="67A61E73"/>
    <w:rsid w:val="67CC2D8E"/>
    <w:rsid w:val="67FA0F78"/>
    <w:rsid w:val="68B87BD5"/>
    <w:rsid w:val="698653E1"/>
    <w:rsid w:val="698D4DF5"/>
    <w:rsid w:val="69B60066"/>
    <w:rsid w:val="69EA7874"/>
    <w:rsid w:val="69FD7129"/>
    <w:rsid w:val="6A244143"/>
    <w:rsid w:val="6A2A476A"/>
    <w:rsid w:val="6A524564"/>
    <w:rsid w:val="6A7C3411"/>
    <w:rsid w:val="6A80371D"/>
    <w:rsid w:val="6A9B2CBE"/>
    <w:rsid w:val="6AD63492"/>
    <w:rsid w:val="6ADC170F"/>
    <w:rsid w:val="6B382DC7"/>
    <w:rsid w:val="6B3A2F0D"/>
    <w:rsid w:val="6B6F0199"/>
    <w:rsid w:val="6B943536"/>
    <w:rsid w:val="6BAF7A2F"/>
    <w:rsid w:val="6BF55EE7"/>
    <w:rsid w:val="6C075921"/>
    <w:rsid w:val="6C5D5DB8"/>
    <w:rsid w:val="6C7A05EF"/>
    <w:rsid w:val="6C9B3329"/>
    <w:rsid w:val="6D0729D3"/>
    <w:rsid w:val="6D72241B"/>
    <w:rsid w:val="6D9D2EBA"/>
    <w:rsid w:val="6E052FAC"/>
    <w:rsid w:val="6E2951BC"/>
    <w:rsid w:val="6E337EA9"/>
    <w:rsid w:val="6E421823"/>
    <w:rsid w:val="6E807B83"/>
    <w:rsid w:val="6E9A5FE0"/>
    <w:rsid w:val="6EB1529C"/>
    <w:rsid w:val="6EB547DD"/>
    <w:rsid w:val="6EBE29E5"/>
    <w:rsid w:val="6EF6119E"/>
    <w:rsid w:val="6EFD6616"/>
    <w:rsid w:val="6F277687"/>
    <w:rsid w:val="6F6C67A7"/>
    <w:rsid w:val="6F72072F"/>
    <w:rsid w:val="6FD6341F"/>
    <w:rsid w:val="6FD6415A"/>
    <w:rsid w:val="6FED19B2"/>
    <w:rsid w:val="6FED2ACE"/>
    <w:rsid w:val="702A0D74"/>
    <w:rsid w:val="702E457B"/>
    <w:rsid w:val="70494580"/>
    <w:rsid w:val="70827356"/>
    <w:rsid w:val="70F97D9B"/>
    <w:rsid w:val="713028F3"/>
    <w:rsid w:val="71627902"/>
    <w:rsid w:val="71655209"/>
    <w:rsid w:val="71741E2A"/>
    <w:rsid w:val="720C1026"/>
    <w:rsid w:val="725E10F6"/>
    <w:rsid w:val="728E004A"/>
    <w:rsid w:val="72B654FB"/>
    <w:rsid w:val="72F77D51"/>
    <w:rsid w:val="731035A5"/>
    <w:rsid w:val="737F49F7"/>
    <w:rsid w:val="73992597"/>
    <w:rsid w:val="73C2747D"/>
    <w:rsid w:val="73FD1995"/>
    <w:rsid w:val="742A10F7"/>
    <w:rsid w:val="742F15EB"/>
    <w:rsid w:val="745367C5"/>
    <w:rsid w:val="746620B8"/>
    <w:rsid w:val="74885744"/>
    <w:rsid w:val="74AF72FC"/>
    <w:rsid w:val="74B96515"/>
    <w:rsid w:val="755B4AC7"/>
    <w:rsid w:val="756C63D6"/>
    <w:rsid w:val="75A04931"/>
    <w:rsid w:val="75C31D4C"/>
    <w:rsid w:val="75D55A67"/>
    <w:rsid w:val="76410873"/>
    <w:rsid w:val="76597B6E"/>
    <w:rsid w:val="76821FF0"/>
    <w:rsid w:val="770F7585"/>
    <w:rsid w:val="774F4BAB"/>
    <w:rsid w:val="777F919B"/>
    <w:rsid w:val="7786799B"/>
    <w:rsid w:val="77AA1856"/>
    <w:rsid w:val="7838600F"/>
    <w:rsid w:val="784242CD"/>
    <w:rsid w:val="785E0DD2"/>
    <w:rsid w:val="786714F6"/>
    <w:rsid w:val="78796469"/>
    <w:rsid w:val="795B67E7"/>
    <w:rsid w:val="7A4B4363"/>
    <w:rsid w:val="7B1F3556"/>
    <w:rsid w:val="7B264291"/>
    <w:rsid w:val="7B384F3E"/>
    <w:rsid w:val="7B41552A"/>
    <w:rsid w:val="7B6F1B20"/>
    <w:rsid w:val="7BB230BE"/>
    <w:rsid w:val="7BEF7A60"/>
    <w:rsid w:val="7C1E37D6"/>
    <w:rsid w:val="7D223117"/>
    <w:rsid w:val="7D3F4628"/>
    <w:rsid w:val="7D867241"/>
    <w:rsid w:val="7DC12867"/>
    <w:rsid w:val="7DC363B2"/>
    <w:rsid w:val="7DE8078A"/>
    <w:rsid w:val="7DF02684"/>
    <w:rsid w:val="7DFA6949"/>
    <w:rsid w:val="7E874017"/>
    <w:rsid w:val="7EA37E3E"/>
    <w:rsid w:val="7ECE1519"/>
    <w:rsid w:val="7EDF1DC9"/>
    <w:rsid w:val="7F4B2E13"/>
    <w:rsid w:val="7FCF0C37"/>
    <w:rsid w:val="7FD13FDA"/>
    <w:rsid w:val="7FFE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0" w:semiHidden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djustRightInd w:val="0"/>
      <w:snapToGrid w:val="0"/>
      <w:spacing w:line="360" w:lineRule="auto"/>
      <w:ind w:firstLine="480" w:firstLineChars="200"/>
      <w:jc w:val="left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next w:val="3"/>
    <w:link w:val="28"/>
    <w:qFormat/>
    <w:uiPriority w:val="0"/>
    <w:pPr>
      <w:widowControl w:val="0"/>
      <w:numPr>
        <w:ilvl w:val="0"/>
        <w:numId w:val="1"/>
      </w:numPr>
      <w:adjustRightInd w:val="0"/>
      <w:snapToGrid w:val="0"/>
      <w:spacing w:line="360" w:lineRule="auto"/>
      <w:jc w:val="left"/>
      <w:outlineLvl w:val="0"/>
    </w:pPr>
    <w:rPr>
      <w:rFonts w:ascii="黑体" w:hAnsi="黑体" w:eastAsia="黑体" w:cs="Times New Roman"/>
      <w:b/>
      <w:color w:val="000000"/>
      <w:kern w:val="44"/>
      <w:sz w:val="28"/>
      <w:szCs w:val="44"/>
      <w:lang w:val="en-US" w:eastAsia="zh-CN" w:bidi="ar-SA"/>
    </w:rPr>
  </w:style>
  <w:style w:type="paragraph" w:styleId="4">
    <w:name w:val="heading 2"/>
    <w:next w:val="3"/>
    <w:link w:val="34"/>
    <w:unhideWhenUsed/>
    <w:qFormat/>
    <w:uiPriority w:val="0"/>
    <w:pPr>
      <w:widowControl w:val="0"/>
      <w:numPr>
        <w:ilvl w:val="1"/>
        <w:numId w:val="1"/>
      </w:numPr>
      <w:adjustRightInd w:val="0"/>
      <w:snapToGrid w:val="0"/>
      <w:spacing w:line="360" w:lineRule="auto"/>
      <w:jc w:val="left"/>
      <w:outlineLvl w:val="1"/>
    </w:pPr>
    <w:rPr>
      <w:rFonts w:ascii="黑体" w:hAnsi="黑体" w:eastAsia="黑体" w:cs="Times New Roman"/>
      <w:b/>
      <w:kern w:val="2"/>
      <w:sz w:val="24"/>
      <w:szCs w:val="32"/>
      <w:lang w:val="en-US" w:eastAsia="zh-CN" w:bidi="ar-SA"/>
    </w:rPr>
  </w:style>
  <w:style w:type="paragraph" w:styleId="5">
    <w:name w:val="heading 3"/>
    <w:next w:val="1"/>
    <w:link w:val="25"/>
    <w:unhideWhenUsed/>
    <w:qFormat/>
    <w:uiPriority w:val="0"/>
    <w:pPr>
      <w:keepNext/>
      <w:keepLines/>
      <w:widowControl w:val="0"/>
      <w:numPr>
        <w:ilvl w:val="2"/>
        <w:numId w:val="1"/>
      </w:numPr>
      <w:adjustRightInd w:val="0"/>
      <w:snapToGrid w:val="0"/>
      <w:spacing w:line="360" w:lineRule="auto"/>
      <w:jc w:val="left"/>
      <w:outlineLvl w:val="2"/>
    </w:pPr>
    <w:rPr>
      <w:rFonts w:ascii="黑体" w:hAnsi="黑体" w:eastAsia="黑体" w:cs="Times New Roman"/>
      <w:b/>
      <w:kern w:val="2"/>
      <w:sz w:val="24"/>
      <w:szCs w:val="24"/>
      <w:lang w:val="en-US" w:eastAsia="zh-CN" w:bidi="ar-SA"/>
    </w:rPr>
  </w:style>
  <w:style w:type="paragraph" w:styleId="6">
    <w:name w:val="heading 4"/>
    <w:next w:val="1"/>
    <w:unhideWhenUsed/>
    <w:qFormat/>
    <w:uiPriority w:val="0"/>
    <w:pPr>
      <w:keepNext/>
      <w:keepLines/>
      <w:widowControl w:val="0"/>
      <w:numPr>
        <w:ilvl w:val="3"/>
        <w:numId w:val="1"/>
      </w:numPr>
      <w:adjustRightInd w:val="0"/>
      <w:snapToGrid w:val="0"/>
      <w:spacing w:line="360" w:lineRule="auto"/>
      <w:jc w:val="left"/>
      <w:outlineLvl w:val="3"/>
    </w:pPr>
    <w:rPr>
      <w:rFonts w:ascii="黑体" w:hAnsi="黑体" w:eastAsia="黑体" w:cs="Times New Roman"/>
      <w:b/>
      <w:bCs/>
      <w:kern w:val="2"/>
      <w:sz w:val="24"/>
      <w:szCs w:val="28"/>
      <w:lang w:val="en-US" w:eastAsia="zh-CN" w:bidi="ar-SA"/>
    </w:rPr>
  </w:style>
  <w:style w:type="paragraph" w:styleId="7">
    <w:name w:val="heading 5"/>
    <w:next w:val="1"/>
    <w:semiHidden/>
    <w:unhideWhenUsed/>
    <w:qFormat/>
    <w:uiPriority w:val="0"/>
    <w:pPr>
      <w:keepNext/>
      <w:keepLines/>
      <w:widowControl w:val="0"/>
      <w:numPr>
        <w:ilvl w:val="4"/>
        <w:numId w:val="1"/>
      </w:numPr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val="en-US" w:eastAsia="zh-CN" w:bidi="ar-SA"/>
    </w:rPr>
  </w:style>
  <w:style w:type="paragraph" w:styleId="8">
    <w:name w:val="heading 6"/>
    <w:next w:val="1"/>
    <w:semiHidden/>
    <w:unhideWhenUsed/>
    <w:qFormat/>
    <w:uiPriority w:val="0"/>
    <w:pPr>
      <w:keepNext/>
      <w:keepLines/>
      <w:widowControl w:val="0"/>
      <w:numPr>
        <w:ilvl w:val="5"/>
        <w:numId w:val="1"/>
      </w:numPr>
      <w:adjustRightInd w:val="0"/>
      <w:spacing w:before="120" w:line="300" w:lineRule="auto"/>
      <w:ind w:left="1151" w:hanging="1151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val="en-US" w:eastAsia="zh-CN" w:bidi="ar-SA"/>
    </w:rPr>
  </w:style>
  <w:style w:type="paragraph" w:styleId="9">
    <w:name w:val="heading 7"/>
    <w:next w:val="1"/>
    <w:semiHidden/>
    <w:unhideWhenUsed/>
    <w:qFormat/>
    <w:uiPriority w:val="0"/>
    <w:pPr>
      <w:keepNext/>
      <w:keepLines/>
      <w:widowControl w:val="0"/>
      <w:numPr>
        <w:ilvl w:val="6"/>
        <w:numId w:val="1"/>
      </w:numPr>
      <w:adjustRightInd w:val="0"/>
      <w:spacing w:before="120" w:line="300" w:lineRule="auto"/>
      <w:ind w:left="1296" w:hanging="1296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val="en-US" w:eastAsia="zh-CN" w:bidi="ar-SA"/>
    </w:rPr>
  </w:style>
  <w:style w:type="paragraph" w:styleId="10">
    <w:name w:val="heading 8"/>
    <w:next w:val="1"/>
    <w:semiHidden/>
    <w:unhideWhenUsed/>
    <w:qFormat/>
    <w:uiPriority w:val="0"/>
    <w:pPr>
      <w:keepNext/>
      <w:keepLines/>
      <w:widowControl w:val="0"/>
      <w:numPr>
        <w:ilvl w:val="7"/>
        <w:numId w:val="1"/>
      </w:numPr>
      <w:adjustRightInd w:val="0"/>
      <w:spacing w:before="120" w:line="300" w:lineRule="auto"/>
      <w:ind w:left="1440" w:hanging="1440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11">
    <w:name w:val="heading 9"/>
    <w:next w:val="1"/>
    <w:semiHidden/>
    <w:unhideWhenUsed/>
    <w:qFormat/>
    <w:uiPriority w:val="0"/>
    <w:pPr>
      <w:keepNext/>
      <w:keepLines/>
      <w:widowControl w:val="0"/>
      <w:numPr>
        <w:ilvl w:val="8"/>
        <w:numId w:val="1"/>
      </w:numPr>
      <w:adjustRightInd w:val="0"/>
      <w:spacing w:before="120" w:line="300" w:lineRule="auto"/>
      <w:ind w:left="1583" w:hanging="1583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val="en-US" w:eastAsia="zh-CN" w:bidi="ar-SA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after="100" w:afterLines="0" w:line="360" w:lineRule="auto"/>
      <w:ind w:firstLine="420" w:firstLineChars="200"/>
      <w:jc w:val="left"/>
    </w:pPr>
    <w:rPr>
      <w:rFonts w:ascii="宋体" w:hAnsi="宋体" w:eastAsia="宋体" w:cs="宋体"/>
      <w:shd w:val="clear" w:color="auto" w:fill="FFFFFF"/>
    </w:rPr>
  </w:style>
  <w:style w:type="paragraph" w:styleId="12">
    <w:name w:val="caption"/>
    <w:next w:val="1"/>
    <w:unhideWhenUsed/>
    <w:qFormat/>
    <w:uiPriority w:val="0"/>
    <w:pPr>
      <w:adjustRightInd w:val="0"/>
      <w:snapToGrid w:val="0"/>
      <w:spacing w:line="360" w:lineRule="auto"/>
      <w:jc w:val="center"/>
    </w:pPr>
    <w:rPr>
      <w:rFonts w:ascii="黑体" w:hAnsi="黑体" w:eastAsia="黑体" w:cs="Times New Roman"/>
      <w:sz w:val="21"/>
    </w:rPr>
  </w:style>
  <w:style w:type="paragraph" w:styleId="13">
    <w:name w:val="annotation text"/>
    <w:basedOn w:val="1"/>
    <w:link w:val="30"/>
    <w:qFormat/>
    <w:uiPriority w:val="0"/>
    <w:pPr>
      <w:jc w:val="left"/>
    </w:pPr>
  </w:style>
  <w:style w:type="paragraph" w:styleId="14">
    <w:name w:val="toc 3"/>
    <w:next w:val="1"/>
    <w:qFormat/>
    <w:uiPriority w:val="39"/>
    <w:pPr>
      <w:spacing w:line="360" w:lineRule="auto"/>
      <w:ind w:left="480" w:leftChars="200"/>
    </w:pPr>
    <w:rPr>
      <w:rFonts w:hint="eastAsia" w:ascii="Times New Roman" w:hAnsi="Times New Roman" w:eastAsia="宋体" w:cs="Times New Roman"/>
      <w:bCs/>
      <w:sz w:val="24"/>
    </w:rPr>
  </w:style>
  <w:style w:type="paragraph" w:styleId="15">
    <w:name w:val="Balloon Text"/>
    <w:basedOn w:val="1"/>
    <w:link w:val="26"/>
    <w:qFormat/>
    <w:uiPriority w:val="0"/>
    <w:rPr>
      <w:sz w:val="18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7">
    <w:name w:val="toc 1"/>
    <w:next w:val="1"/>
    <w:link w:val="32"/>
    <w:qFormat/>
    <w:uiPriority w:val="39"/>
    <w:pPr>
      <w:spacing w:line="360" w:lineRule="auto"/>
    </w:pPr>
    <w:rPr>
      <w:rFonts w:ascii="Times New Roman" w:hAnsi="Times New Roman" w:eastAsia="宋体" w:cs="Times New Roman"/>
      <w:sz w:val="24"/>
    </w:rPr>
  </w:style>
  <w:style w:type="paragraph" w:styleId="18">
    <w:name w:val="toc 4"/>
    <w:next w:val="1"/>
    <w:semiHidden/>
    <w:unhideWhenUsed/>
    <w:qFormat/>
    <w:uiPriority w:val="0"/>
    <w:pPr>
      <w:spacing w:line="360" w:lineRule="auto"/>
      <w:ind w:left="720" w:leftChars="300"/>
    </w:pPr>
    <w:rPr>
      <w:rFonts w:ascii="Times New Roman" w:hAnsi="Times New Roman" w:eastAsia="宋体" w:cs="Times New Roman"/>
      <w:sz w:val="24"/>
    </w:rPr>
  </w:style>
  <w:style w:type="paragraph" w:styleId="19">
    <w:name w:val="Subtitle"/>
    <w:qFormat/>
    <w:uiPriority w:val="0"/>
    <w:pPr>
      <w:widowControl w:val="0"/>
      <w:adjustRightInd w:val="0"/>
      <w:snapToGrid w:val="0"/>
      <w:spacing w:line="360" w:lineRule="auto"/>
      <w:jc w:val="center"/>
    </w:pPr>
    <w:rPr>
      <w:rFonts w:ascii="Times New Roman" w:hAnsi="Times New Roman" w:eastAsia="宋体" w:cs="Times New Roman"/>
      <w:b/>
      <w:kern w:val="28"/>
      <w:sz w:val="36"/>
      <w:szCs w:val="24"/>
      <w:lang w:val="en-US" w:eastAsia="zh-CN" w:bidi="ar-SA"/>
    </w:rPr>
  </w:style>
  <w:style w:type="paragraph" w:styleId="20">
    <w:name w:val="toc 2"/>
    <w:next w:val="1"/>
    <w:link w:val="33"/>
    <w:qFormat/>
    <w:uiPriority w:val="39"/>
    <w:pPr>
      <w:spacing w:line="360" w:lineRule="auto"/>
      <w:ind w:left="240" w:leftChars="100"/>
    </w:pPr>
    <w:rPr>
      <w:rFonts w:hint="eastAsia" w:ascii="Times New Roman" w:hAnsi="Times New Roman" w:eastAsia="宋体" w:cs="黑体"/>
      <w:sz w:val="24"/>
      <w:szCs w:val="28"/>
    </w:rPr>
  </w:style>
  <w:style w:type="paragraph" w:styleId="21">
    <w:name w:val="Title"/>
    <w:link w:val="29"/>
    <w:qFormat/>
    <w:uiPriority w:val="0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"/>
      <w:sz w:val="36"/>
      <w:szCs w:val="24"/>
      <w:lang w:val="en-US" w:eastAsia="zh-CN" w:bidi="ar-SA"/>
    </w:rPr>
  </w:style>
  <w:style w:type="table" w:styleId="23">
    <w:name w:val="Table Grid"/>
    <w:basedOn w:val="2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标题 3 字符"/>
    <w:link w:val="5"/>
    <w:semiHidden/>
    <w:qFormat/>
    <w:uiPriority w:val="9"/>
    <w:rPr>
      <w:rFonts w:ascii="黑体" w:hAnsi="黑体" w:eastAsia="黑体" w:cs="Times New Roman"/>
      <w:b/>
      <w:kern w:val="2"/>
      <w:sz w:val="24"/>
      <w:szCs w:val="24"/>
      <w:lang w:val="en-US" w:eastAsia="zh-CN" w:bidi="ar-SA"/>
    </w:rPr>
  </w:style>
  <w:style w:type="character" w:customStyle="1" w:styleId="26">
    <w:name w:val="批注框文本 字符"/>
    <w:link w:val="15"/>
    <w:semiHidden/>
    <w:qFormat/>
    <w:uiPriority w:val="99"/>
    <w:rPr>
      <w:sz w:val="18"/>
    </w:rPr>
  </w:style>
  <w:style w:type="character" w:customStyle="1" w:styleId="27">
    <w:name w:val="标题 2 字符1"/>
    <w:link w:val="4"/>
    <w:qFormat/>
    <w:uiPriority w:val="9"/>
    <w:rPr>
      <w:rFonts w:ascii="黑体" w:hAnsi="黑体" w:eastAsia="黑体" w:cs="Times New Roman"/>
      <w:b/>
      <w:kern w:val="2"/>
      <w:sz w:val="24"/>
      <w:szCs w:val="32"/>
      <w:lang w:val="en-US" w:eastAsia="zh-CN" w:bidi="ar-SA"/>
    </w:rPr>
  </w:style>
  <w:style w:type="character" w:customStyle="1" w:styleId="28">
    <w:name w:val="标题 1 字符1"/>
    <w:link w:val="2"/>
    <w:qFormat/>
    <w:uiPriority w:val="0"/>
    <w:rPr>
      <w:rFonts w:ascii="黑体" w:hAnsi="黑体" w:eastAsia="黑体" w:cs="Times New Roman"/>
      <w:b/>
      <w:color w:val="000000"/>
      <w:kern w:val="44"/>
      <w:sz w:val="28"/>
      <w:szCs w:val="44"/>
      <w:lang w:val="en-US" w:eastAsia="zh-CN" w:bidi="ar-SA"/>
    </w:rPr>
  </w:style>
  <w:style w:type="character" w:customStyle="1" w:styleId="29">
    <w:name w:val="标题 字符"/>
    <w:link w:val="21"/>
    <w:qFormat/>
    <w:uiPriority w:val="0"/>
    <w:rPr>
      <w:rFonts w:ascii="Times New Roman" w:hAnsi="Times New Roman" w:eastAsia="黑体" w:cs="Times New Roman"/>
      <w:kern w:val="2"/>
      <w:sz w:val="36"/>
      <w:szCs w:val="24"/>
      <w:lang w:val="en-US" w:eastAsia="zh-CN" w:bidi="ar-SA"/>
    </w:rPr>
  </w:style>
  <w:style w:type="character" w:customStyle="1" w:styleId="30">
    <w:name w:val="批注文字 字符"/>
    <w:link w:val="13"/>
    <w:semiHidden/>
    <w:qFormat/>
    <w:uiPriority w:val="99"/>
  </w:style>
  <w:style w:type="paragraph" w:customStyle="1" w:styleId="31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32">
    <w:name w:val="目录 1 Char"/>
    <w:link w:val="17"/>
    <w:qFormat/>
    <w:uiPriority w:val="39"/>
    <w:rPr>
      <w:rFonts w:ascii="Times New Roman" w:hAnsi="Times New Roman" w:eastAsia="宋体" w:cs="Times New Roman"/>
      <w:sz w:val="24"/>
    </w:rPr>
  </w:style>
  <w:style w:type="character" w:customStyle="1" w:styleId="33">
    <w:name w:val="目录 2 Char"/>
    <w:link w:val="20"/>
    <w:qFormat/>
    <w:uiPriority w:val="39"/>
    <w:rPr>
      <w:rFonts w:hint="eastAsia" w:ascii="Times New Roman" w:hAnsi="Times New Roman" w:eastAsia="宋体" w:cs="黑体"/>
      <w:sz w:val="24"/>
      <w:szCs w:val="28"/>
    </w:rPr>
  </w:style>
  <w:style w:type="character" w:customStyle="1" w:styleId="34">
    <w:name w:val="标题 2 字符"/>
    <w:link w:val="4"/>
    <w:qFormat/>
    <w:uiPriority w:val="9"/>
    <w:rPr>
      <w:rFonts w:ascii="黑体" w:hAnsi="黑体" w:eastAsia="黑体" w:cs="Times New Roman"/>
      <w:b/>
      <w:kern w:val="2"/>
      <w:sz w:val="24"/>
      <w:szCs w:val="32"/>
      <w:lang w:val="en-US" w:eastAsia="zh-CN" w:bidi="ar-SA"/>
    </w:rPr>
  </w:style>
  <w:style w:type="paragraph" w:customStyle="1" w:styleId="35">
    <w:name w:val="目录"/>
    <w:qFormat/>
    <w:uiPriority w:val="0"/>
    <w:pPr>
      <w:adjustRightInd w:val="0"/>
      <w:snapToGrid w:val="0"/>
      <w:spacing w:line="360" w:lineRule="auto"/>
      <w:jc w:val="center"/>
      <w:outlineLvl w:val="9"/>
    </w:pPr>
    <w:rPr>
      <w:rFonts w:ascii="黑体" w:hAnsi="黑体" w:eastAsia="黑体" w:cs="Times New Roman"/>
      <w:b/>
      <w:bCs/>
      <w:kern w:val="44"/>
      <w:sz w:val="32"/>
      <w:szCs w:val="32"/>
    </w:rPr>
  </w:style>
  <w:style w:type="paragraph" w:customStyle="1" w:styleId="36">
    <w:name w:val="封面备注"/>
    <w:qFormat/>
    <w:uiPriority w:val="0"/>
    <w:pPr>
      <w:adjustRightInd w:val="0"/>
      <w:snapToGrid w:val="0"/>
      <w:spacing w:line="360" w:lineRule="auto"/>
      <w:jc w:val="center"/>
    </w:pPr>
    <w:rPr>
      <w:rFonts w:ascii="Times New Roman" w:hAnsi="Times New Roman" w:eastAsia="宋体" w:cs="Times New Roman"/>
      <w:b/>
      <w:bCs/>
      <w:spacing w:val="-6"/>
      <w:sz w:val="21"/>
    </w:rPr>
  </w:style>
  <w:style w:type="paragraph" w:customStyle="1" w:styleId="37">
    <w:name w:val="封面标题"/>
    <w:basedOn w:val="1"/>
    <w:qFormat/>
    <w:uiPriority w:val="0"/>
    <w:pPr>
      <w:jc w:val="center"/>
      <w:outlineLvl w:val="9"/>
    </w:pPr>
    <w:rPr>
      <w:rFonts w:hint="eastAsia" w:ascii="黑体" w:hAnsi="黑体" w:eastAsia="黑体"/>
      <w:b/>
      <w:bCs/>
      <w:kern w:val="44"/>
      <w:sz w:val="52"/>
      <w:szCs w:val="52"/>
    </w:rPr>
  </w:style>
  <w:style w:type="paragraph" w:customStyle="1" w:styleId="38">
    <w:name w:val="表格正文"/>
    <w:qFormat/>
    <w:uiPriority w:val="0"/>
    <w:pPr>
      <w:widowControl/>
      <w:adjustRightInd w:val="0"/>
      <w:snapToGrid w:val="0"/>
      <w:spacing w:line="240" w:lineRule="auto"/>
      <w:ind w:firstLine="0" w:firstLineChars="0"/>
      <w:jc w:val="center"/>
    </w:pPr>
    <w:rPr>
      <w:rFonts w:ascii="Times New Roman" w:hAnsi="Times New Roman" w:eastAsia="宋体" w:cs="Times New Roman"/>
      <w:bCs/>
      <w:color w:val="000000"/>
      <w:kern w:val="0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9" Type="http://schemas.openxmlformats.org/officeDocument/2006/relationships/fontTable" Target="fontTable.xml"/><Relationship Id="rId48" Type="http://schemas.openxmlformats.org/officeDocument/2006/relationships/customXml" Target="../customXml/item3.xml"/><Relationship Id="rId47" Type="http://schemas.openxmlformats.org/officeDocument/2006/relationships/customXml" Target="../customXml/item2.xml"/><Relationship Id="rId46" Type="http://schemas.openxmlformats.org/officeDocument/2006/relationships/numbering" Target="numbering.xml"/><Relationship Id="rId45" Type="http://schemas.openxmlformats.org/officeDocument/2006/relationships/customXml" Target="../customXml/item1.xml"/><Relationship Id="rId44" Type="http://schemas.openxmlformats.org/officeDocument/2006/relationships/image" Target="media/image28.jpeg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png"/><Relationship Id="rId4" Type="http://schemas.openxmlformats.org/officeDocument/2006/relationships/endnotes" Target="endnotes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png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footnotes" Target="footnotes.xml"/><Relationship Id="rId29" Type="http://schemas.openxmlformats.org/officeDocument/2006/relationships/image" Target="media/image13.png"/><Relationship Id="rId28" Type="http://schemas.openxmlformats.org/officeDocument/2006/relationships/image" Target="media/image12.png"/><Relationship Id="rId27" Type="http://schemas.openxmlformats.org/officeDocument/2006/relationships/image" Target="media/image11.png"/><Relationship Id="rId26" Type="http://schemas.openxmlformats.org/officeDocument/2006/relationships/image" Target="media/image10.png"/><Relationship Id="rId25" Type="http://schemas.openxmlformats.org/officeDocument/2006/relationships/image" Target="media/image9.png"/><Relationship Id="rId24" Type="http://schemas.openxmlformats.org/officeDocument/2006/relationships/image" Target="media/image8.png"/><Relationship Id="rId23" Type="http://schemas.openxmlformats.org/officeDocument/2006/relationships/image" Target="media/image7.png"/><Relationship Id="rId22" Type="http://schemas.openxmlformats.org/officeDocument/2006/relationships/image" Target="media/image6.png"/><Relationship Id="rId21" Type="http://schemas.openxmlformats.org/officeDocument/2006/relationships/image" Target="media/image5.jpeg"/><Relationship Id="rId20" Type="http://schemas.openxmlformats.org/officeDocument/2006/relationships/image" Target="media/image4.jpeg"/><Relationship Id="rId2" Type="http://schemas.openxmlformats.org/officeDocument/2006/relationships/settings" Target="settings.xml"/><Relationship Id="rId19" Type="http://schemas.openxmlformats.org/officeDocument/2006/relationships/image" Target="media/image3.jpeg"/><Relationship Id="rId18" Type="http://schemas.openxmlformats.org/officeDocument/2006/relationships/image" Target="media/image2.png"/><Relationship Id="rId17" Type="http://schemas.openxmlformats.org/officeDocument/2006/relationships/image" Target="media/image1.png"/><Relationship Id="rId16" Type="http://schemas.openxmlformats.org/officeDocument/2006/relationships/theme" Target="theme/theme1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d7ba4d01-a542-47a7-a6b9-8973e78bbff6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，有</item>
      </candidateList>
      <explain xmlns="http://schemas.wps.cn/vas-ai-hub/contract-review"/>
      <paraID xmlns="http://schemas.wps.cn/vas-ai-hub/contract-review">10EEE8F0</paraID>
      <start xmlns="http://schemas.wps.cn/vas-ai-hub/contract-review">27</start>
      <end xmlns="http://schemas.wps.cn/vas-ai-hub/contract-review">28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eddc4c20-fe96-4066-9dcd-b2ff289ef35d</errorID>
      <errorWord xmlns="http://schemas.wps.cn/vas-ai-hub/contract-review">遇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有</item>
      </candidateList>
      <explain xmlns="http://schemas.wps.cn/vas-ai-hub/contract-review">存在发音相近字词的误用。</explain>
      <paraID xmlns="http://schemas.wps.cn/vas-ai-hub/contract-review">170273E7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ded166b7-44fb-4731-9a5b-6b4c79c803f3</errorID>
      <errorWord xmlns="http://schemas.wps.cn/vas-ai-hub/contract-review">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程中</item>
      </candidateList>
      <explain xmlns="http://schemas.wps.cn/vas-ai-hub/contract-review"/>
      <paraID xmlns="http://schemas.wps.cn/vas-ai-hub/contract-review">4F9D7DB8</paraID>
      <start xmlns="http://schemas.wps.cn/vas-ai-hub/contract-review">8</start>
      <end xmlns="http://schemas.wps.cn/vas-ai-hub/contract-review">10</end>
      <status xmlns="http://schemas.wps.cn/vas-ai-hub/contract-review">modified</status>
      <modifiedWord xmlns="http://schemas.wps.cn/vas-ai-hub/contract-review">程中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3132d933-9cb2-410c-9214-70603fcf05ed</errorID>
      <errorWord xmlns="http://schemas.wps.cn/vas-ai-hub/contract-review">或是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或</item>
      </candidateList>
      <explain xmlns="http://schemas.wps.cn/vas-ai-hub/contract-review"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 xmlns="http://schemas.wps.cn/vas-ai-hub/contract-review">54F135DB</paraID>
      <start xmlns="http://schemas.wps.cn/vas-ai-hub/contract-review">43</start>
      <end xmlns="http://schemas.wps.cn/vas-ai-hub/contract-review">44</end>
      <status xmlns="http://schemas.wps.cn/vas-ai-hub/contract-review">modified</status>
      <modifiedWord xmlns="http://schemas.wps.cn/vas-ai-hub/contract-review">或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8a506831-9672-4f3b-95e0-29a4fae93cde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21FB20CE</paraID>
      <start xmlns="http://schemas.wps.cn/vas-ai-hub/contract-review">3</start>
      <end xmlns="http://schemas.wps.cn/vas-ai-hub/contract-review">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aa2fa333-ee40-405e-9851-e8ffd54ab321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21FB20CE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5268654a-32b5-482f-809b-514a42477fd3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7C65DE0A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c12197bc-031f-4f5d-a594-a4d334345bb2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7C65DE0A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6a81e9a7-0245-4538-bb34-b0c68734e5ef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5B1E1815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a6d2e0a5-e92f-47ae-a208-4227b75f5837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5B1E1815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4f28e2d0-b08f-431a-88a8-a55342014d62</errorID>
      <errorWord xmlns="http://schemas.wps.cn/vas-ai-hub/contract-review">后用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后</item>
      </candidateList>
      <explain xmlns="http://schemas.wps.cn/vas-ai-hub/contract-review">❶君主的妻子：皇～｜～妃。❷古代称君主：商之先～。❸（Hòu）〈名〉姓。</explain>
      <paraID xmlns="http://schemas.wps.cn/vas-ai-hub/contract-review">1A3F1196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后</modifiedWord>
      <trackRevisions xmlns="http://schemas.wps.cn/vas-ai-hub/contract-review">false</trackRevisions>
    </reviewItem>
  </reviewItems>
  <config xmlns="http://schemas.wps.cn/vas-ai-hub/contract-review"/>
</contractReview>
</file>

<file path=customXml/item3.xml><?xml version="1.0" encoding="utf-8"?>
<b:Sources xmlns:b="http://schemas.openxmlformats.org/officeDocument/2006/bibliography" xmlns="http://schemas.openxmlformats.org/officeDocument/2006/bibliography" Version="0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99c3e9-1650-496f-846d-e43992ce9974}">
  <ds:schemaRefs/>
</ds:datastoreItem>
</file>

<file path=customXml/itemProps3.xml><?xml version="1.0" encoding="utf-8"?>
<ds:datastoreItem xmlns:ds="http://schemas.openxmlformats.org/officeDocument/2006/customXml" ds:itemID="{733EDEBC-0F44-4863-B693-6CAC523C68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DoubleOX</Company>
  <Pages>10</Pages>
  <Words>3739</Words>
  <Characters>4030</Characters>
  <Lines>33</Lines>
  <Paragraphs>9</Paragraphs>
  <TotalTime>0</TotalTime>
  <ScaleCrop>false</ScaleCrop>
  <LinksUpToDate>false</LinksUpToDate>
  <CharactersWithSpaces>4257</CharactersWithSpaces>
  <Application>WPS Office WWO_base_provider_20250722104458-4835d61a2e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2016-12-06T13:51:00Z</dcterms:created>
  <dc:creator>骆海鹏</dc:creator>
  <cp:lastModifiedBy>webword_3188195825</cp:lastModifiedBy>
  <dcterms:modified xsi:type="dcterms:W3CDTF">2026-04-07T14:47:44Z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5A5C4286947EFDE890A8D4691916E748_43</vt:lpwstr>
  </property>
  <property fmtid="{D5CDD505-2E9C-101B-9397-08002B2CF9AE}" pid="4" name="KSOTemplateDocerSaveRecord">
    <vt:lpwstr>eyJoZGlkIjoiZjFkNzViOGI1MjkxZGI2ZGNjYWIyMGM4ZTk1NzI5MjkiLCJ1c2VySWQiOiIxMTUwMjg2NTY3In0=</vt:lpwstr>
  </property>
</Properties>
</file>